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bis                                                       </w:t>
      </w:r>
      <w:r>
        <w:rPr>
          <w:rFonts w:ascii="Arial" w:hAnsi="Arial" w:eastAsia="宋体" w:cs="Arial"/>
          <w:b/>
          <w:sz w:val="24"/>
          <w:szCs w:val="24"/>
          <w:lang w:eastAsia="zh-CN"/>
        </w:rPr>
        <w:t>R4-24</w:t>
      </w:r>
      <w:r>
        <w:rPr>
          <w:rFonts w:hint="eastAsia" w:eastAsia="宋体" w:cs="Arial"/>
          <w:b/>
          <w:sz w:val="24"/>
          <w:szCs w:val="24"/>
          <w:lang w:val="en-US" w:eastAsia="zh-CN"/>
        </w:rPr>
        <w:t>16370</w:t>
      </w:r>
      <w:bookmarkStart w:id="3" w:name="_GoBack"/>
      <w:bookmarkEnd w:id="3"/>
    </w:p>
    <w:p>
      <w:pPr>
        <w:pStyle w:val="2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HeFei</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18</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6.8.3.4</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spacing w:beforeLines="50" w:after="0" w:afterLines="50"/>
        <w:jc w:val="both"/>
        <w:rPr>
          <w:rFonts w:hint="default" w:eastAsia="宋体"/>
          <w:sz w:val="22"/>
          <w:szCs w:val="22"/>
          <w:lang w:val="en-US" w:eastAsia="zh-CN"/>
        </w:rPr>
      </w:pPr>
      <w:r>
        <w:rPr>
          <w:rFonts w:hint="eastAsia" w:eastAsia="宋体"/>
          <w:sz w:val="22"/>
          <w:szCs w:val="22"/>
          <w:lang w:val="en-US" w:eastAsia="zh-CN"/>
        </w:rPr>
        <w:t>At RAN 104# meeting, the revised WID on NR NTN evolution [1] has been approved, and several objectives in the WID have RAN4 RRM involvement. In the last meeting we provided our initial views on potential impacts on RRM requirements and in this meeting we will continue to study the concrete RRM requirements.</w:t>
      </w:r>
    </w:p>
    <w:p>
      <w:pPr>
        <w:pStyle w:val="76"/>
        <w:rPr>
          <w:lang w:val="en-US"/>
        </w:rPr>
      </w:pPr>
      <w:r>
        <w:rPr>
          <w:lang w:val="en-US"/>
        </w:rPr>
        <w:t>Discussion</w:t>
      </w:r>
    </w:p>
    <w:p>
      <w:pPr>
        <w:rPr>
          <w:rFonts w:hint="default"/>
          <w:lang w:val="en-US" w:eastAsia="zh-CN"/>
        </w:rPr>
      </w:pPr>
      <w:r>
        <w:rPr>
          <w:rFonts w:hint="eastAsia"/>
          <w:lang w:val="en-US" w:eastAsia="zh-CN"/>
        </w:rPr>
        <w:t xml:space="preserve">The objectives of Rel-19 in NR NTN evolution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hint="default" w:ascii="Times New Roman" w:hAnsi="Times New Roman" w:eastAsia="宋体" w:cs="Times New Roman"/>
                <w:kern w:val="0"/>
                <w:sz w:val="20"/>
                <w:szCs w:val="20"/>
                <w:lang w:val="en-US" w:eastAsia="zh-CN"/>
              </w:rPr>
            </w:pPr>
            <w:r>
              <w:rPr>
                <w:rFonts w:hint="eastAsia" w:eastAsia="宋体" w:cs="Times New Roman"/>
                <w:bCs/>
                <w:kern w:val="0"/>
                <w:sz w:val="20"/>
                <w:szCs w:val="20"/>
                <w:lang w:val="en-US" w:eastAsia="zh-CN"/>
              </w:rPr>
              <w:t>2.1 Less than 5MHz for NTN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w:t>
      </w:r>
    </w:p>
    <w:p>
      <w:pPr>
        <w:pStyle w:val="78"/>
        <w:numPr>
          <w:ilvl w:val="1"/>
          <w:numId w:val="0"/>
        </w:numPr>
        <w:bidi w:val="0"/>
        <w:rPr>
          <w:rFonts w:hint="default"/>
          <w:lang w:val="en-US" w:eastAsia="zh-CN"/>
        </w:rPr>
      </w:pPr>
      <w:r>
        <w:rPr>
          <w:rFonts w:hint="eastAsia"/>
          <w:lang w:val="en-US" w:eastAsia="zh-CN"/>
        </w:rPr>
        <w:t>2.1 Less than 5MHz for NTN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rPr>
                <w:b/>
              </w:rPr>
            </w:pPr>
            <w:r>
              <w:rPr>
                <w:b/>
              </w:rPr>
              <w:t>Less than 5MHz for NTN</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72"/>
              <w:numPr>
                <w:ilvl w:val="2"/>
                <w:numId w:val="3"/>
              </w:numPr>
              <w:ind w:firstLineChars="0"/>
              <w:jc w:val="left"/>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72"/>
              <w:numPr>
                <w:ilvl w:val="1"/>
                <w:numId w:val="3"/>
              </w:numPr>
              <w:ind w:firstLineChars="0"/>
              <w:jc w:val="left"/>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72"/>
              <w:numPr>
                <w:ilvl w:val="0"/>
                <w:numId w:val="3"/>
              </w:numPr>
              <w:ind w:firstLineChars="0"/>
              <w:jc w:val="left"/>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72"/>
              <w:numPr>
                <w:ilvl w:val="1"/>
                <w:numId w:val="3"/>
              </w:numPr>
              <w:ind w:firstLineChars="0"/>
              <w:jc w:val="left"/>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72"/>
              <w:numPr>
                <w:ilvl w:val="0"/>
                <w:numId w:val="3"/>
              </w:numPr>
              <w:ind w:firstLineChars="0"/>
              <w:jc w:val="left"/>
              <w:rPr>
                <w:rFonts w:ascii="Times New Roman" w:hAnsi="Times New Roman" w:cs="Times New Roman"/>
                <w:sz w:val="20"/>
                <w:szCs w:val="20"/>
                <w:highlight w:val="yellow"/>
              </w:rPr>
            </w:pPr>
            <w:r>
              <w:rPr>
                <w:rFonts w:ascii="Times New Roman" w:hAnsi="Times New Roman" w:cs="Times New Roman"/>
                <w:sz w:val="20"/>
                <w:szCs w:val="20"/>
                <w:highlight w:val="yellow"/>
              </w:rPr>
              <w:t>Specify the necessary RRM core requirements for less than 5 MHz for NR-NTN in FR1-NTN bands</w:t>
            </w:r>
          </w:p>
          <w:p>
            <w:pPr>
              <w:pStyle w:val="72"/>
              <w:numPr>
                <w:ilvl w:val="0"/>
                <w:numId w:val="3"/>
              </w:numPr>
              <w:spacing w:after="180"/>
              <w:ind w:firstLineChars="0"/>
              <w:jc w:val="left"/>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R18, RAN4 just discussed less than 5MHz feature for TN, and the less than 5MHz feature will be applied to NTN scenario. </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2.1.1 Baseline assumption</w:t>
      </w:r>
    </w:p>
    <w:p>
      <w:pPr>
        <w:rPr>
          <w:rFonts w:hint="eastAsia"/>
          <w:lang w:val="en-US" w:eastAsia="zh-CN"/>
        </w:rPr>
      </w:pPr>
      <w:r>
        <w:rPr>
          <w:rFonts w:hint="eastAsia"/>
          <w:lang w:val="en-US" w:eastAsia="zh-CN"/>
        </w:rPr>
        <w:t>In legacy less than 5MHz in TN, RAN4 deems that the PDCCH transmission bandwidth parameter is 12PRB or 15PRB for 3MHz and 12PRB for SS/PBCH assumption. However, RAN4 reached the agreement for less than 5MHz in NTN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pPr>
            <w:r>
              <w:t>Channel bandwidth assumption</w:t>
            </w:r>
          </w:p>
          <w:p>
            <w:pPr>
              <w:spacing w:after="120"/>
              <w:rPr>
                <w:color w:val="0070C0"/>
              </w:rPr>
            </w:pPr>
            <w:r>
              <w:rPr>
                <w:color w:val="0070C0"/>
                <w:lang w:eastAsia="zh-CN"/>
              </w:rPr>
              <w:t>Agreement</w:t>
            </w:r>
            <w:r>
              <w:rPr>
                <w:color w:val="0070C0"/>
              </w:rPr>
              <w:t>:</w:t>
            </w:r>
          </w:p>
          <w:p>
            <w:pPr>
              <w:pStyle w:val="72"/>
              <w:widowControl w:val="0"/>
              <w:numPr>
                <w:ilvl w:val="0"/>
                <w:numId w:val="4"/>
              </w:numPr>
              <w:overflowPunct/>
              <w:autoSpaceDE/>
              <w:autoSpaceDN/>
              <w:adjustRightInd/>
              <w:spacing w:after="120" w:line="259" w:lineRule="auto"/>
              <w:ind w:firstLineChars="0"/>
              <w:jc w:val="both"/>
              <w:textAlignment w:val="auto"/>
              <w:rPr>
                <w:rFonts w:eastAsia="宋体"/>
                <w:color w:val="0070C0"/>
              </w:rPr>
            </w:pPr>
            <w:r>
              <w:rPr>
                <w:sz w:val="21"/>
                <w:szCs w:val="21"/>
                <w:highlight w:val="green"/>
                <w:lang w:eastAsia="zh-CN"/>
              </w:rPr>
              <w:t>To align with the agreement in BDaT session.</w:t>
            </w:r>
          </w:p>
          <w:p>
            <w:pPr>
              <w:pStyle w:val="6"/>
            </w:pPr>
            <w:r>
              <w:t xml:space="preserve"> SSB/PBCH assumption</w:t>
            </w:r>
          </w:p>
          <w:p>
            <w:pPr>
              <w:spacing w:after="120"/>
              <w:rPr>
                <w:color w:val="0070C0"/>
              </w:rPr>
            </w:pPr>
            <w:r>
              <w:rPr>
                <w:color w:val="0070C0"/>
                <w:lang w:eastAsia="zh-CN"/>
              </w:rPr>
              <w:t>Agreement</w:t>
            </w:r>
          </w:p>
          <w:p>
            <w:pPr>
              <w:pStyle w:val="72"/>
              <w:widowControl w:val="0"/>
              <w:numPr>
                <w:ilvl w:val="0"/>
                <w:numId w:val="4"/>
              </w:numPr>
              <w:overflowPunct/>
              <w:autoSpaceDE/>
              <w:autoSpaceDN/>
              <w:adjustRightInd/>
              <w:spacing w:after="120" w:line="259" w:lineRule="auto"/>
              <w:ind w:firstLineChars="0"/>
              <w:jc w:val="both"/>
              <w:textAlignment w:val="auto"/>
              <w:rPr>
                <w:b/>
                <w:bCs/>
                <w:i/>
                <w:iCs/>
              </w:rPr>
            </w:pPr>
            <w:r>
              <w:rPr>
                <w:sz w:val="21"/>
                <w:szCs w:val="21"/>
                <w:highlight w:val="green"/>
                <w:lang w:eastAsia="zh-CN"/>
              </w:rPr>
              <w:t>To align with the agreement in BDaT session.</w:t>
            </w:r>
            <w:r>
              <w:rPr>
                <w:rFonts w:eastAsiaTheme="minorEastAsia"/>
                <w:b/>
                <w:bCs/>
                <w:i/>
                <w:iCs/>
                <w:lang w:eastAsia="zh-CN"/>
              </w:rPr>
              <w:t xml:space="preserve"> </w:t>
            </w:r>
          </w:p>
          <w:p>
            <w:pPr>
              <w:pStyle w:val="6"/>
              <w:rPr>
                <w:highlight w:val="none"/>
              </w:rPr>
            </w:pPr>
            <w:r>
              <w:rPr>
                <w:highlight w:val="none"/>
              </w:rPr>
              <w:t xml:space="preserve"> CORRSET</w:t>
            </w:r>
          </w:p>
          <w:p>
            <w:pPr>
              <w:spacing w:after="120"/>
              <w:rPr>
                <w:color w:val="0070C0"/>
              </w:rPr>
            </w:pPr>
            <w:r>
              <w:rPr>
                <w:color w:val="0070C0"/>
                <w:lang w:eastAsia="zh-CN"/>
              </w:rPr>
              <w:t>Agreement</w:t>
            </w:r>
          </w:p>
          <w:p>
            <w:pPr>
              <w:pStyle w:val="72"/>
              <w:widowControl w:val="0"/>
              <w:numPr>
                <w:ilvl w:val="0"/>
                <w:numId w:val="4"/>
              </w:numPr>
              <w:overflowPunct/>
              <w:autoSpaceDE/>
              <w:autoSpaceDN/>
              <w:adjustRightInd/>
              <w:spacing w:after="120" w:line="259" w:lineRule="auto"/>
              <w:ind w:firstLineChars="0"/>
              <w:jc w:val="both"/>
              <w:textAlignment w:val="auto"/>
              <w:rPr>
                <w:b/>
                <w:bCs/>
                <w:i/>
                <w:iCs/>
              </w:rPr>
            </w:pPr>
            <w:r>
              <w:rPr>
                <w:sz w:val="21"/>
                <w:szCs w:val="21"/>
                <w:highlight w:val="green"/>
                <w:lang w:eastAsia="zh-CN"/>
              </w:rPr>
              <w:t>To align with the agreement in BDaT session.</w:t>
            </w:r>
          </w:p>
          <w:p>
            <w:pPr>
              <w:rPr>
                <w:rFonts w:hint="default"/>
                <w:vertAlign w:val="baseline"/>
                <w:lang w:val="en-US" w:eastAsia="zh-CN"/>
              </w:rPr>
            </w:pPr>
          </w:p>
        </w:tc>
      </w:tr>
    </w:tbl>
    <w:p>
      <w:pPr>
        <w:rPr>
          <w:rFonts w:hint="eastAsia"/>
          <w:lang w:val="en-US" w:eastAsia="zh-CN"/>
        </w:rPr>
      </w:pPr>
      <w:r>
        <w:rPr>
          <w:rFonts w:hint="eastAsia"/>
          <w:lang w:val="en-US" w:eastAsia="zh-CN"/>
        </w:rPr>
        <w:t>The system parameters shall be defined in BDaT session and RRM session shall follow the agreements defined in BDaT session: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u w:val="single"/>
                <w:lang w:eastAsia="ko-KR"/>
              </w:rPr>
            </w:pPr>
            <w:r>
              <w:rPr>
                <w:b/>
                <w:u w:val="single"/>
                <w:lang w:eastAsia="ko-KR"/>
              </w:rPr>
              <w:t>Issue 1-1-1: Channel bandwidth</w:t>
            </w:r>
          </w:p>
          <w:p>
            <w:pPr>
              <w:pStyle w:val="72"/>
              <w:numPr>
                <w:ilvl w:val="0"/>
                <w:numId w:val="4"/>
              </w:numPr>
              <w:overflowPunct/>
              <w:autoSpaceDE/>
              <w:autoSpaceDN/>
              <w:adjustRightInd/>
              <w:spacing w:after="120"/>
              <w:ind w:left="720"/>
              <w:textAlignment w:val="auto"/>
              <w:rPr>
                <w:rFonts w:eastAsia="宋体"/>
                <w:szCs w:val="24"/>
                <w:highlight w:val="green"/>
                <w:lang w:eastAsia="zh-CN"/>
              </w:rPr>
            </w:pPr>
            <w:r>
              <w:rPr>
                <w:rFonts w:eastAsia="宋体"/>
                <w:szCs w:val="24"/>
                <w:highlight w:val="green"/>
                <w:lang w:eastAsia="zh-CN"/>
              </w:rPr>
              <w:t>Agreement</w:t>
            </w:r>
          </w:p>
          <w:p>
            <w:pPr>
              <w:pStyle w:val="72"/>
              <w:numPr>
                <w:ilvl w:val="1"/>
                <w:numId w:val="4"/>
              </w:numPr>
              <w:overflowPunct/>
              <w:autoSpaceDE/>
              <w:autoSpaceDN/>
              <w:adjustRightInd/>
              <w:spacing w:after="120"/>
              <w:ind w:left="1440"/>
              <w:textAlignment w:val="auto"/>
              <w:rPr>
                <w:rFonts w:eastAsia="宋体"/>
                <w:szCs w:val="24"/>
                <w:highlight w:val="green"/>
                <w:lang w:eastAsia="zh-CN"/>
              </w:rPr>
            </w:pPr>
            <w:r>
              <w:rPr>
                <w:rFonts w:eastAsia="宋体"/>
                <w:szCs w:val="24"/>
                <w:highlight w:val="green"/>
                <w:lang w:eastAsia="zh-CN"/>
              </w:rPr>
              <w:t xml:space="preserve">Only introduce </w:t>
            </w:r>
            <w:r>
              <w:rPr>
                <w:highlight w:val="green"/>
                <w:lang w:val="en-US"/>
              </w:rPr>
              <w:t>3MHz channel bandwidth with 15kHz SCS</w:t>
            </w:r>
          </w:p>
          <w:p>
            <w:pPr>
              <w:rPr>
                <w:b/>
                <w:u w:val="single"/>
                <w:lang w:eastAsia="ko-KR"/>
              </w:rPr>
            </w:pPr>
            <w:r>
              <w:rPr>
                <w:b/>
                <w:u w:val="single"/>
                <w:lang w:eastAsia="ko-KR"/>
              </w:rPr>
              <w:t>Issue 1-1-2: Operating bands for 3MHz channel bandwidth</w:t>
            </w:r>
          </w:p>
          <w:p>
            <w:pPr>
              <w:pStyle w:val="72"/>
              <w:numPr>
                <w:ilvl w:val="0"/>
                <w:numId w:val="4"/>
              </w:numPr>
              <w:overflowPunct/>
              <w:autoSpaceDE/>
              <w:autoSpaceDN/>
              <w:adjustRightInd/>
              <w:spacing w:after="120"/>
              <w:ind w:left="720"/>
              <w:textAlignment w:val="auto"/>
              <w:rPr>
                <w:rFonts w:eastAsia="宋体"/>
                <w:szCs w:val="24"/>
                <w:highlight w:val="green"/>
                <w:lang w:eastAsia="zh-CN"/>
              </w:rPr>
            </w:pPr>
            <w:r>
              <w:rPr>
                <w:rFonts w:eastAsia="宋体"/>
                <w:szCs w:val="24"/>
                <w:highlight w:val="green"/>
                <w:lang w:eastAsia="zh-CN"/>
              </w:rPr>
              <w:t>Agreement</w:t>
            </w:r>
          </w:p>
          <w:p>
            <w:pPr>
              <w:pStyle w:val="72"/>
              <w:numPr>
                <w:ilvl w:val="1"/>
                <w:numId w:val="4"/>
              </w:numPr>
              <w:overflowPunct/>
              <w:autoSpaceDE/>
              <w:autoSpaceDN/>
              <w:adjustRightInd/>
              <w:spacing w:after="120"/>
              <w:ind w:left="1440"/>
              <w:textAlignment w:val="auto"/>
              <w:rPr>
                <w:rFonts w:hint="eastAsia" w:eastAsia="宋体"/>
                <w:szCs w:val="24"/>
                <w:highlight w:val="green"/>
                <w:lang w:eastAsia="zh-CN"/>
              </w:rPr>
            </w:pPr>
            <w:r>
              <w:rPr>
                <w:bCs/>
                <w:highlight w:val="green"/>
                <w:lang w:eastAsia="zh-CN"/>
              </w:rPr>
              <w:t>Applicable NTN bands: band n256, n255 and n254</w:t>
            </w:r>
          </w:p>
          <w:p>
            <w:pPr>
              <w:rPr>
                <w:b/>
                <w:u w:val="single"/>
                <w:lang w:eastAsia="ko-KR"/>
              </w:rPr>
            </w:pPr>
            <w:r>
              <w:rPr>
                <w:b/>
                <w:u w:val="single"/>
                <w:lang w:eastAsia="ko-KR"/>
              </w:rPr>
              <w:t xml:space="preserve">Issue 1-1-3: </w:t>
            </w:r>
            <w:r>
              <w:rPr>
                <w:rFonts w:hint="eastAsia"/>
                <w:b/>
                <w:u w:val="single"/>
                <w:lang w:eastAsia="ko-KR"/>
              </w:rPr>
              <w:t xml:space="preserve">Maximum transmission </w:t>
            </w:r>
            <w:r>
              <w:rPr>
                <w:b/>
                <w:u w:val="single"/>
                <w:lang w:eastAsia="ko-KR"/>
              </w:rPr>
              <w:t>bandwidth</w:t>
            </w:r>
            <w:r>
              <w:rPr>
                <w:rFonts w:hint="eastAsia"/>
                <w:b/>
                <w:u w:val="single"/>
                <w:lang w:eastAsia="ko-KR"/>
              </w:rPr>
              <w:t xml:space="preserve"> configuration</w:t>
            </w:r>
            <w:r>
              <w:rPr>
                <w:b/>
                <w:u w:val="single"/>
                <w:lang w:eastAsia="ko-KR"/>
              </w:rPr>
              <w:t>(NRB)</w:t>
            </w:r>
          </w:p>
          <w:p>
            <w:pPr>
              <w:pStyle w:val="72"/>
              <w:numPr>
                <w:ilvl w:val="0"/>
                <w:numId w:val="4"/>
              </w:numPr>
              <w:overflowPunct/>
              <w:autoSpaceDE/>
              <w:autoSpaceDN/>
              <w:adjustRightInd/>
              <w:spacing w:after="120"/>
              <w:ind w:left="720"/>
              <w:textAlignment w:val="auto"/>
              <w:rPr>
                <w:rFonts w:eastAsia="宋体"/>
                <w:szCs w:val="24"/>
                <w:highlight w:val="green"/>
                <w:lang w:eastAsia="zh-CN"/>
              </w:rPr>
            </w:pPr>
            <w:r>
              <w:rPr>
                <w:rFonts w:eastAsia="宋体"/>
                <w:szCs w:val="24"/>
                <w:highlight w:val="green"/>
                <w:lang w:eastAsia="zh-CN"/>
              </w:rPr>
              <w:t>Agreement</w:t>
            </w:r>
          </w:p>
          <w:p>
            <w:pPr>
              <w:pStyle w:val="72"/>
              <w:numPr>
                <w:ilvl w:val="1"/>
                <w:numId w:val="4"/>
              </w:numPr>
              <w:overflowPunct/>
              <w:autoSpaceDE/>
              <w:autoSpaceDN/>
              <w:adjustRightInd/>
              <w:spacing w:after="120"/>
              <w:ind w:left="1440"/>
              <w:textAlignment w:val="auto"/>
              <w:rPr>
                <w:rFonts w:eastAsia="宋体"/>
                <w:szCs w:val="24"/>
                <w:highlight w:val="green"/>
                <w:lang w:eastAsia="zh-CN"/>
              </w:rPr>
            </w:pPr>
            <w:r>
              <w:rPr>
                <w:rFonts w:eastAsia="宋体"/>
                <w:szCs w:val="24"/>
                <w:highlight w:val="green"/>
                <w:lang w:eastAsia="zh-CN"/>
              </w:rPr>
              <w:t xml:space="preserve">Reuse 15 RBs for </w:t>
            </w:r>
            <w:r>
              <w:rPr>
                <w:highlight w:val="green"/>
                <w:lang w:val="en-US"/>
              </w:rPr>
              <w:t>3MHz channel bandwidth with 15kHz SCS for NR NTN.</w:t>
            </w:r>
          </w:p>
          <w:p>
            <w:pPr>
              <w:rPr>
                <w:rFonts w:hint="default"/>
                <w:vertAlign w:val="baseline"/>
                <w:lang w:val="en-US" w:eastAsia="zh-CN"/>
              </w:rPr>
            </w:pPr>
          </w:p>
        </w:tc>
      </w:tr>
    </w:tbl>
    <w:p>
      <w:pPr>
        <w:rPr>
          <w:rFonts w:hint="eastAsia"/>
          <w:lang w:val="en-US" w:eastAsia="zh-CN"/>
        </w:rPr>
      </w:pPr>
      <w:r>
        <w:rPr>
          <w:rFonts w:hint="eastAsia"/>
          <w:lang w:val="en-US" w:eastAsia="zh-CN"/>
        </w:rPr>
        <w:t>For channel bandwidth, RAN4 RRM shall only study 3MHz channel bandwidth and the concrete SCS is 15kHz which has been agreed in the last meeting.</w:t>
      </w:r>
    </w:p>
    <w:p>
      <w:pPr>
        <w:rPr>
          <w:rFonts w:hint="default"/>
          <w:lang w:val="en-US" w:eastAsia="zh-CN"/>
        </w:rPr>
      </w:pPr>
      <w:r>
        <w:rPr>
          <w:rFonts w:hint="eastAsia"/>
          <w:lang w:val="en-US" w:eastAsia="zh-CN"/>
        </w:rPr>
        <w:t xml:space="preserve">For SS/PBCH detection, it is 12PRBs without change which is similar to legacy. </w:t>
      </w:r>
    </w:p>
    <w:p>
      <w:pPr>
        <w:rPr>
          <w:rFonts w:hint="eastAsia"/>
          <w:lang w:val="en-US" w:eastAsia="zh-CN"/>
        </w:rPr>
      </w:pPr>
      <w:r>
        <w:rPr>
          <w:rFonts w:hint="eastAsia"/>
          <w:lang w:val="en-US" w:eastAsia="zh-CN"/>
        </w:rPr>
        <w:t>For downlink transmission bandwidth parameter, it shall be only 15PRBs without 12PRBs. In legacy TN, the BW is 12PRBs for 3MHz case and band n100. In the above table, we find that the operating bands for 3MHz channel bandwidth in NTN is band n256, n255 and n254 without n100. Thus, the downlink transmission bandwidth shall be 15 PRBs onl</w:t>
      </w:r>
      <w:r>
        <w:rPr>
          <w:rFonts w:hint="eastAsia"/>
          <w:highlight w:val="none"/>
          <w:lang w:val="en-US" w:eastAsia="zh-CN"/>
        </w:rPr>
        <w:t xml:space="preserve">y since 15PRB is not limited in NTN bands. </w:t>
      </w:r>
    </w:p>
    <w:p>
      <w:pPr>
        <w:rPr>
          <w:rFonts w:hint="default"/>
          <w:lang w:val="en-US" w:eastAsia="zh-CN"/>
        </w:rPr>
      </w:pPr>
      <w:r>
        <w:rPr>
          <w:rFonts w:hint="eastAsia"/>
          <w:b/>
          <w:bCs/>
          <w:lang w:val="en-US" w:eastAsia="zh-CN"/>
        </w:rPr>
        <w:t>Observation 1: For RRM requirements, the operating bands of 3MHz channel bandwidth with 15kHz SCS in NTN is n255, n256 and n254</w:t>
      </w:r>
      <w:r>
        <w:rPr>
          <w:rFonts w:hint="eastAsia"/>
          <w:lang w:val="en-US" w:eastAsia="zh-CN"/>
        </w:rPr>
        <w:t xml:space="preserve">. </w:t>
      </w:r>
    </w:p>
    <w:p>
      <w:pPr>
        <w:rPr>
          <w:rFonts w:hint="eastAsia"/>
          <w:b/>
          <w:bCs/>
          <w:lang w:val="en-US" w:eastAsia="zh-CN"/>
        </w:rPr>
      </w:pPr>
      <w:r>
        <w:rPr>
          <w:rFonts w:hint="eastAsia"/>
          <w:b/>
          <w:bCs/>
          <w:lang w:val="en-US" w:eastAsia="zh-CN"/>
        </w:rPr>
        <w:t>Proposal 1: RAN4 RRM shall only introduce 3MHz channel bandwidth with 15kHz SCS for less than 5MHz in NTN.</w:t>
      </w:r>
    </w:p>
    <w:p>
      <w:pPr>
        <w:rPr>
          <w:rFonts w:hint="eastAsia"/>
          <w:b/>
          <w:bCs/>
          <w:lang w:val="en-US" w:eastAsia="zh-CN"/>
        </w:rPr>
      </w:pPr>
      <w:r>
        <w:rPr>
          <w:rFonts w:hint="eastAsia"/>
          <w:b/>
          <w:bCs/>
          <w:lang w:val="en-US" w:eastAsia="zh-CN"/>
        </w:rPr>
        <w:t>Proposal 2: For SS/PBCH assumption, PBCH is punctured to 12PRBs which is same as legacy.</w:t>
      </w:r>
    </w:p>
    <w:p>
      <w:pPr>
        <w:rPr>
          <w:rFonts w:hint="eastAsia"/>
          <w:lang w:val="en-US" w:eastAsia="zh-CN"/>
        </w:rPr>
      </w:pPr>
      <w:r>
        <w:rPr>
          <w:rFonts w:hint="eastAsia"/>
          <w:b/>
          <w:bCs/>
          <w:lang w:val="en-US" w:eastAsia="zh-CN"/>
        </w:rPr>
        <w:t>Proposal 3:  For downlink transmission bandwidth, reuse 15PRBs for 3MHz channel bandwidth with 15kHz SCS for less than 5MHz in NTN scenario</w:t>
      </w:r>
      <w:r>
        <w:rPr>
          <w:rFonts w:hint="eastAsia"/>
          <w:lang w:val="en-US" w:eastAsia="zh-CN"/>
        </w:rPr>
        <w:t>.</w:t>
      </w:r>
    </w:p>
    <w:p>
      <w:pPr>
        <w:pStyle w:val="4"/>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lang w:val="en-US" w:eastAsia="zh-CN"/>
        </w:rPr>
        <w:t>2.1.2 Requirements for NTN less than 5MHz</w:t>
      </w:r>
    </w:p>
    <w:p>
      <w:pPr>
        <w:rPr>
          <w:rFonts w:hint="eastAsia"/>
          <w:lang w:val="en-US" w:eastAsia="zh-CN"/>
        </w:rPr>
      </w:pPr>
      <w:r>
        <w:rPr>
          <w:rFonts w:hint="eastAsia"/>
          <w:lang w:val="en-US" w:eastAsia="zh-CN"/>
        </w:rPr>
        <w:t>In the last meeting, we had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rPr>
                <w:rFonts w:hint="default"/>
                <w:color w:val="0070C0"/>
                <w:lang w:val="en-US" w:eastAsia="zh-CN"/>
              </w:rPr>
            </w:pPr>
            <w:r>
              <w:rPr>
                <w:color w:val="0070C0"/>
                <w:lang w:eastAsia="zh-CN"/>
              </w:rPr>
              <w:t>Agreement</w:t>
            </w:r>
            <w:r>
              <w:rPr>
                <w:rFonts w:hint="eastAsia"/>
                <w:color w:val="0070C0"/>
                <w:lang w:val="en-US" w:eastAsia="zh-CN"/>
              </w:rPr>
              <w:t>:</w:t>
            </w:r>
          </w:p>
          <w:p>
            <w:pPr>
              <w:rPr>
                <w:rFonts w:eastAsia="等线"/>
                <w:bCs/>
                <w:kern w:val="2"/>
                <w:sz w:val="21"/>
                <w:szCs w:val="21"/>
                <w:highlight w:val="green"/>
                <w:lang w:val="en-US" w:eastAsia="zh-CN"/>
              </w:rPr>
            </w:pPr>
            <w:r>
              <w:rPr>
                <w:rFonts w:eastAsia="等线"/>
                <w:bCs/>
                <w:kern w:val="2"/>
                <w:sz w:val="21"/>
                <w:szCs w:val="21"/>
                <w:highlight w:val="green"/>
                <w:lang w:val="en-US" w:eastAsia="zh-CN"/>
              </w:rPr>
              <w:t>An applicability requirement is needed to clarify which R17/R18 NTN requirement can be applied for less than 5MHz band without any change in R19.</w:t>
            </w:r>
          </w:p>
          <w:p>
            <w:pPr>
              <w:spacing w:after="120"/>
              <w:rPr>
                <w:rFonts w:eastAsia="等线"/>
                <w:bCs/>
                <w:kern w:val="2"/>
                <w:sz w:val="21"/>
                <w:szCs w:val="21"/>
                <w:highlight w:val="green"/>
                <w:lang w:val="en-US" w:eastAsia="zh-CN"/>
              </w:rPr>
            </w:pPr>
            <w:r>
              <w:rPr>
                <w:color w:val="0070C0"/>
                <w:lang w:eastAsia="zh-CN"/>
              </w:rPr>
              <w:t>Agreement</w:t>
            </w:r>
            <w:r>
              <w:rPr>
                <w:rFonts w:hint="eastAsia"/>
                <w:color w:val="0070C0"/>
                <w:lang w:val="en-US" w:eastAsia="zh-CN"/>
              </w:rPr>
              <w:t>:</w:t>
            </w:r>
          </w:p>
          <w:p>
            <w:pPr>
              <w:rPr>
                <w:rFonts w:hint="default" w:eastAsia="等线"/>
                <w:bCs/>
                <w:kern w:val="2"/>
                <w:sz w:val="21"/>
                <w:szCs w:val="21"/>
                <w:highlight w:val="green"/>
                <w:lang w:val="en-US" w:eastAsia="zh-CN"/>
              </w:rPr>
            </w:pPr>
            <w:r>
              <w:rPr>
                <w:rFonts w:eastAsia="等线"/>
                <w:bCs/>
                <w:kern w:val="2"/>
                <w:sz w:val="21"/>
                <w:szCs w:val="21"/>
                <w:highlight w:val="green"/>
                <w:lang w:val="en-US" w:eastAsia="zh-CN"/>
              </w:rPr>
              <w:t>RRM requirement for TN less than 5MHz shall be used as baseline to design NTN less than 5MHz requiremen</w:t>
            </w:r>
            <w:r>
              <w:rPr>
                <w:rFonts w:hint="eastAsia" w:eastAsia="等线"/>
                <w:bCs/>
                <w:kern w:val="2"/>
                <w:sz w:val="21"/>
                <w:szCs w:val="21"/>
                <w:highlight w:val="green"/>
                <w:lang w:val="en-US" w:eastAsia="zh-CN"/>
              </w:rPr>
              <w:t>t</w:t>
            </w:r>
          </w:p>
        </w:tc>
      </w:tr>
    </w:tbl>
    <w:p>
      <w:pPr>
        <w:rPr>
          <w:rFonts w:hint="eastAsia"/>
          <w:lang w:val="en-US" w:eastAsia="zh-CN"/>
        </w:rPr>
      </w:pPr>
      <w:r>
        <w:rPr>
          <w:rFonts w:hint="eastAsia"/>
          <w:lang w:val="en-US" w:eastAsia="zh-CN"/>
        </w:rPr>
        <w:t>First of all, the requirements for less than 5MHz in TN shall be baseline when we considering to define the requirements in NTN</w:t>
      </w:r>
      <w:r>
        <w:rPr>
          <w:rFonts w:hint="eastAsia"/>
          <w:highlight w:val="none"/>
          <w:lang w:val="en-US" w:eastAsia="zh-CN"/>
        </w:rPr>
        <w:t xml:space="preserve"> scenario. If there is no requirements change in R19, we shall add some clarifications. </w:t>
      </w:r>
    </w:p>
    <w:p>
      <w:pPr>
        <w:rPr>
          <w:rFonts w:hint="eastAsia"/>
          <w:lang w:val="en-US" w:eastAsia="zh-CN"/>
        </w:rPr>
      </w:pPr>
      <w:r>
        <w:rPr>
          <w:rFonts w:hint="eastAsia"/>
          <w:lang w:val="en-US" w:eastAsia="zh-CN"/>
        </w:rPr>
        <w:t>Next, we shall study potential impacts based on the contents in the following table:</w:t>
      </w:r>
    </w:p>
    <w:tbl>
      <w:tblPr>
        <w:tblStyle w:val="29"/>
        <w:tblW w:w="7450" w:type="dxa"/>
        <w:tblInd w:w="132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1"/>
        <w:gridCol w:w="2916"/>
        <w:gridCol w:w="283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3"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eastAsia"/>
                <w:lang w:val="en-US" w:eastAsia="zh-CN"/>
              </w:rPr>
              <w:t xml:space="preserve"> </w:t>
            </w:r>
            <w:r>
              <w:rPr>
                <w:rFonts w:hint="default"/>
                <w:bCs/>
                <w:sz w:val="21"/>
                <w:szCs w:val="21"/>
              </w:rPr>
              <w:t>RRM requirements</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NTN requirements in TS38.133 v18.5.0</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suppressLineNumbers w:val="0"/>
              <w:spacing w:before="0" w:beforeAutospacing="0" w:after="0" w:afterAutospacing="0"/>
              <w:ind w:left="0" w:right="0"/>
              <w:rPr>
                <w:rFonts w:hint="default"/>
                <w:bCs/>
                <w:sz w:val="21"/>
                <w:szCs w:val="21"/>
              </w:rPr>
            </w:pPr>
            <w:r>
              <w:rPr>
                <w:rFonts w:hint="default"/>
                <w:bCs/>
                <w:sz w:val="21"/>
                <w:szCs w:val="21"/>
              </w:rPr>
              <w:t>Possible impacts if BW below 5MHz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IDLE/inactive mode mobility</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4.2C Cell Re-selection for NR UE for Satellite Access</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suppressLineNumbers w:val="0"/>
              <w:spacing w:before="0" w:beforeAutospacing="0" w:after="0" w:afterAutospacing="0"/>
              <w:ind w:left="0" w:right="0"/>
              <w:rPr>
                <w:rFonts w:hint="default"/>
                <w:sz w:val="21"/>
                <w:szCs w:val="21"/>
                <w:lang w:eastAsia="zh-CN"/>
              </w:rPr>
            </w:pPr>
            <w:r>
              <w:rPr>
                <w:rFonts w:hint="eastAsia"/>
                <w:sz w:val="21"/>
                <w:szCs w:val="21"/>
                <w:lang w:val="en-US" w:eastAsia="zh-CN"/>
              </w:rPr>
              <w:t>No RRM requirements impact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1"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bCs/>
                <w:sz w:val="21"/>
                <w:szCs w:val="21"/>
                <w:lang w:eastAsia="zh-CN"/>
              </w:rPr>
            </w:pPr>
            <w:r>
              <w:rPr>
                <w:rFonts w:hint="default"/>
                <w:bCs/>
                <w:sz w:val="21"/>
                <w:szCs w:val="21"/>
                <w:lang w:eastAsia="zh-CN"/>
              </w:rPr>
              <w:t>RRC connection mobility control</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6.2C RRC Connection Mobility Control for Satellite Access</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RRC Re-establishment</w:t>
            </w:r>
          </w:p>
          <w:p>
            <w:pPr>
              <w:keepNext w:val="0"/>
              <w:keepLines w:val="0"/>
              <w:numPr>
                <w:ilvl w:val="0"/>
                <w:numId w:val="5"/>
              </w:numPr>
              <w:suppressLineNumbers w:val="0"/>
              <w:spacing w:before="0" w:beforeAutospacing="0" w:after="0" w:afterAutospacing="0"/>
              <w:ind w:left="420" w:right="0" w:hanging="420"/>
              <w:rPr>
                <w:rFonts w:hint="default"/>
                <w:sz w:val="21"/>
                <w:szCs w:val="21"/>
                <w:lang w:val="en-US" w:eastAsia="zh-CN"/>
              </w:rPr>
            </w:pPr>
            <w:r>
              <w:rPr>
                <w:rFonts w:hint="eastAsia"/>
                <w:sz w:val="21"/>
                <w:szCs w:val="21"/>
                <w:lang w:val="en-US" w:eastAsia="zh-CN"/>
              </w:rPr>
              <w:t>RRC connection release with redirection for satellite access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9"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Handover</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6.1C Handover for SAN</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Time/location-based CHO delay</w:t>
            </w:r>
          </w:p>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Satellite switch time</w:t>
            </w:r>
          </w:p>
          <w:p>
            <w:pPr>
              <w:keepNext w:val="0"/>
              <w:keepLines w:val="0"/>
              <w:numPr>
                <w:ilvl w:val="0"/>
                <w:numId w:val="5"/>
              </w:numPr>
              <w:suppressLineNumbers w:val="0"/>
              <w:spacing w:before="0" w:beforeAutospacing="0" w:after="0" w:afterAutospacing="0"/>
              <w:ind w:left="420" w:right="0" w:hanging="420"/>
              <w:rPr>
                <w:rFonts w:hint="default"/>
                <w:sz w:val="21"/>
                <w:szCs w:val="21"/>
                <w:lang w:eastAsia="zh-CN"/>
              </w:rPr>
            </w:pPr>
            <w:r>
              <w:rPr>
                <w:rFonts w:hint="eastAsia"/>
                <w:sz w:val="21"/>
                <w:szCs w:val="21"/>
                <w:lang w:val="en-US" w:eastAsia="zh-CN"/>
              </w:rPr>
              <w:t>Handover delay(RACH-based and RACH-less)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9"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UE Tx timing, MTTD/ MRTD, timer accuracy, TA accuracy</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sz w:val="21"/>
                <w:szCs w:val="21"/>
              </w:rPr>
              <w:t>7.1C, 7.2C, 7.3C</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Transmit timing (Te)</w:t>
            </w:r>
          </w:p>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UE timer accuracy</w:t>
            </w:r>
          </w:p>
          <w:p>
            <w:pPr>
              <w:keepNext w:val="0"/>
              <w:keepLines w:val="0"/>
              <w:numPr>
                <w:ilvl w:val="0"/>
                <w:numId w:val="5"/>
              </w:numPr>
              <w:suppressLineNumbers w:val="0"/>
              <w:spacing w:before="0" w:beforeAutospacing="0" w:after="0" w:afterAutospacing="0"/>
              <w:ind w:left="420" w:right="0" w:hanging="420"/>
              <w:rPr>
                <w:rFonts w:hint="default"/>
                <w:sz w:val="21"/>
                <w:szCs w:val="21"/>
                <w:lang w:eastAsia="zh-CN"/>
              </w:rPr>
            </w:pPr>
            <w:r>
              <w:rPr>
                <w:rFonts w:hint="eastAsia"/>
                <w:sz w:val="21"/>
                <w:szCs w:val="21"/>
                <w:lang w:val="en-US" w:eastAsia="zh-CN"/>
              </w:rPr>
              <w:t>Timing advance for satellite access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58"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sz w:val="21"/>
                <w:szCs w:val="21"/>
              </w:rPr>
            </w:pPr>
            <w:r>
              <w:rPr>
                <w:rFonts w:hint="default"/>
                <w:bCs/>
                <w:sz w:val="21"/>
                <w:szCs w:val="21"/>
              </w:rPr>
              <w:t>RLM</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82"/>
                <w:tab w:val="left" w:pos="2600"/>
              </w:tabs>
              <w:autoSpaceDE w:val="0"/>
              <w:autoSpaceDN w:val="0"/>
              <w:adjustRightInd w:val="0"/>
              <w:spacing w:before="0" w:beforeAutospacing="0" w:after="0" w:afterAutospacing="0"/>
              <w:ind w:left="0" w:right="0"/>
              <w:rPr>
                <w:rFonts w:hint="default"/>
                <w:sz w:val="21"/>
                <w:szCs w:val="21"/>
              </w:rPr>
            </w:pPr>
            <w:r>
              <w:rPr>
                <w:rFonts w:hint="default"/>
                <w:sz w:val="21"/>
                <w:szCs w:val="21"/>
              </w:rPr>
              <w:t>8.1C Radio Link Monitoring for Satellite Access</w:t>
            </w:r>
          </w:p>
          <w:p>
            <w:pPr>
              <w:keepNext/>
              <w:keepLines/>
              <w:numPr>
                <w:ilvl w:val="1"/>
                <w:numId w:val="0"/>
              </w:numPr>
              <w:suppressLineNumbers w:val="0"/>
              <w:spacing w:before="180" w:beforeAutospacing="0" w:after="0" w:afterAutospacing="0"/>
              <w:ind w:left="576" w:right="0" w:hanging="576"/>
              <w:outlineLvl w:val="1"/>
              <w:rPr>
                <w:rFonts w:hint="default" w:eastAsia="等线"/>
                <w:kern w:val="2"/>
                <w:sz w:val="21"/>
                <w:szCs w:val="21"/>
                <w:lang w:val="en-US" w:eastAsia="ko-KR"/>
              </w:rPr>
            </w:pPr>
            <w:r>
              <w:rPr>
                <w:rFonts w:hint="default" w:eastAsia="等线"/>
                <w:kern w:val="2"/>
                <w:sz w:val="21"/>
                <w:szCs w:val="21"/>
                <w:lang w:val="en-US" w:eastAsia="ko-KR"/>
              </w:rPr>
              <w:t xml:space="preserve">8.5C Link Recovery Procedures for Satellite Access </w:t>
            </w: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numPr>
                <w:ilvl w:val="0"/>
                <w:numId w:val="5"/>
              </w:numPr>
              <w:suppressLineNumbers w:val="0"/>
              <w:spacing w:before="0" w:beforeAutospacing="0" w:after="0" w:afterAutospacing="0"/>
              <w:ind w:left="420" w:right="0" w:hanging="420"/>
              <w:rPr>
                <w:rFonts w:hint="eastAsia"/>
                <w:sz w:val="21"/>
                <w:szCs w:val="21"/>
                <w:lang w:val="en-US" w:eastAsia="zh-CN"/>
              </w:rPr>
            </w:pPr>
            <w:r>
              <w:rPr>
                <w:rFonts w:hint="eastAsia"/>
                <w:sz w:val="21"/>
                <w:szCs w:val="21"/>
                <w:lang w:val="en-US" w:eastAsia="zh-CN"/>
              </w:rPr>
              <w:t>Radio link monitoring (only SSB based)</w:t>
            </w:r>
          </w:p>
          <w:p>
            <w:pPr>
              <w:keepNext w:val="0"/>
              <w:keepLines w:val="0"/>
              <w:numPr>
                <w:ilvl w:val="0"/>
                <w:numId w:val="5"/>
              </w:numPr>
              <w:suppressLineNumbers w:val="0"/>
              <w:spacing w:before="0" w:beforeAutospacing="0" w:after="0" w:afterAutospacing="0"/>
              <w:ind w:left="420" w:right="0" w:hanging="420"/>
              <w:rPr>
                <w:rFonts w:hint="default"/>
              </w:rPr>
            </w:pPr>
            <w:r>
              <w:rPr>
                <w:rFonts w:hint="eastAsia"/>
                <w:sz w:val="21"/>
                <w:szCs w:val="21"/>
                <w:lang w:val="en-US" w:eastAsia="zh-CN"/>
              </w:rPr>
              <w:t>Link recovery procedures for satellite access</w:t>
            </w:r>
          </w:p>
          <w:p>
            <w:pPr>
              <w:keepNext w:val="0"/>
              <w:keepLines w:val="0"/>
              <w:numPr>
                <w:ilvl w:val="0"/>
                <w:numId w:val="5"/>
              </w:numPr>
              <w:suppressLineNumbers w:val="0"/>
              <w:spacing w:before="0" w:beforeAutospacing="0" w:after="0" w:afterAutospacing="0"/>
              <w:ind w:left="420" w:right="0" w:hanging="420"/>
              <w:rPr>
                <w:rFonts w:hint="default" w:eastAsia="宋体"/>
                <w:lang w:val="en-US" w:eastAsia="zh-CN"/>
              </w:rPr>
            </w:pPr>
            <w:r>
              <w:rPr>
                <w:rFonts w:hint="eastAsia"/>
                <w:lang w:val="en-US" w:eastAsia="zh-CN"/>
              </w:rPr>
              <w:t>Candidate beam detection (CBD)</w:t>
            </w:r>
          </w:p>
          <w:p>
            <w:pPr>
              <w:keepNext w:val="0"/>
              <w:keepLines w:val="0"/>
              <w:suppressLineNumbers w:val="0"/>
              <w:spacing w:before="0" w:beforeAutospacing="0" w:after="0" w:afterAutospacing="0"/>
              <w:ind w:left="0" w:right="0"/>
              <w:rPr>
                <w:rFonts w:hint="default"/>
                <w:sz w:val="21"/>
                <w:szCs w:val="21"/>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1" w:hRule="atLeast"/>
        </w:trPr>
        <w:tc>
          <w:tcPr>
            <w:tcW w:w="1701"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spacing w:before="0" w:beforeAutospacing="0" w:after="0" w:afterAutospacing="0"/>
              <w:ind w:left="0" w:right="0"/>
              <w:rPr>
                <w:rFonts w:hint="default"/>
                <w:bCs/>
                <w:sz w:val="21"/>
                <w:szCs w:val="21"/>
                <w:lang w:val="en-US" w:eastAsia="zh-CN"/>
              </w:rPr>
            </w:pPr>
            <w:r>
              <w:rPr>
                <w:rFonts w:hint="eastAsia"/>
                <w:bCs/>
                <w:sz w:val="21"/>
                <w:szCs w:val="21"/>
                <w:lang w:val="en-US" w:eastAsia="zh-CN"/>
              </w:rPr>
              <w:t>Measurements</w:t>
            </w:r>
          </w:p>
        </w:tc>
        <w:tc>
          <w:tcPr>
            <w:tcW w:w="2916" w:type="dxa"/>
            <w:tcBorders>
              <w:top w:val="single" w:color="000000" w:sz="6" w:space="0"/>
              <w:left w:val="single" w:color="000000" w:sz="6" w:space="0"/>
              <w:bottom w:val="single" w:color="000000" w:sz="6" w:space="0"/>
              <w:right w:val="single" w:color="000000" w:sz="6" w:space="0"/>
            </w:tcBorders>
            <w:tcMar>
              <w:top w:w="90" w:type="dxa"/>
              <w:left w:w="90" w:type="dxa"/>
              <w:bottom w:w="90" w:type="dxa"/>
              <w:right w:w="90" w:type="dxa"/>
            </w:tcMar>
          </w:tcPr>
          <w:p>
            <w:pPr>
              <w:keepNext w:val="0"/>
              <w:keepLines w:val="0"/>
              <w:suppressLineNumbers w:val="0"/>
              <w:tabs>
                <w:tab w:val="left" w:pos="0"/>
                <w:tab w:val="left" w:pos="82"/>
                <w:tab w:val="left" w:pos="2600"/>
              </w:tabs>
              <w:autoSpaceDE w:val="0"/>
              <w:autoSpaceDN w:val="0"/>
              <w:adjustRightInd w:val="0"/>
              <w:spacing w:before="0" w:beforeAutospacing="0" w:after="0" w:afterAutospacing="0"/>
              <w:ind w:left="0" w:right="0"/>
              <w:rPr>
                <w:rFonts w:hint="default"/>
                <w:sz w:val="21"/>
                <w:szCs w:val="21"/>
              </w:rPr>
            </w:pPr>
          </w:p>
        </w:tc>
        <w:tc>
          <w:tcPr>
            <w:tcW w:w="2833" w:type="dxa"/>
            <w:tcBorders>
              <w:top w:val="single" w:color="000000" w:sz="6" w:space="0"/>
              <w:left w:val="single" w:color="000000" w:sz="6" w:space="0"/>
              <w:bottom w:val="single" w:color="000000" w:sz="6" w:space="0"/>
              <w:right w:val="single" w:color="000000" w:sz="6" w:space="0"/>
            </w:tcBorders>
          </w:tcPr>
          <w:p>
            <w:pPr>
              <w:keepNext w:val="0"/>
              <w:keepLines w:val="0"/>
              <w:suppressLineNumbers w:val="0"/>
              <w:spacing w:before="0" w:beforeAutospacing="0" w:after="0" w:afterAutospacing="0"/>
              <w:ind w:left="0" w:right="0" w:firstLine="210" w:firstLineChars="100"/>
              <w:rPr>
                <w:rFonts w:hint="default"/>
                <w:sz w:val="21"/>
                <w:szCs w:val="21"/>
                <w:lang w:val="en-US" w:eastAsia="zh-CN"/>
              </w:rPr>
            </w:pPr>
            <w:r>
              <w:rPr>
                <w:rFonts w:hint="eastAsia"/>
                <w:sz w:val="21"/>
                <w:szCs w:val="21"/>
                <w:lang w:val="en-US" w:eastAsia="zh-CN"/>
              </w:rPr>
              <w:t xml:space="preserve">L3 measurement </w:t>
            </w:r>
          </w:p>
        </w:tc>
      </w:tr>
    </w:tbl>
    <w:p>
      <w:pPr>
        <w:rPr>
          <w:rFonts w:hint="default"/>
          <w:lang w:val="en-US" w:eastAsia="zh-CN"/>
        </w:rPr>
      </w:pPr>
    </w:p>
    <w:p>
      <w:pPr>
        <w:pStyle w:val="5"/>
        <w:rPr>
          <w:rFonts w:hint="default"/>
          <w:lang w:val="en-US" w:eastAsia="zh-CN"/>
        </w:rPr>
      </w:pPr>
      <w:r>
        <w:rPr>
          <w:rFonts w:hint="eastAsia"/>
          <w:lang w:val="en-US" w:eastAsia="zh-CN"/>
        </w:rPr>
        <w:t>2.1.2.1 RLM/BFD/CBD</w:t>
      </w:r>
    </w:p>
    <w:p>
      <w:pPr>
        <w:rPr>
          <w:rFonts w:hint="eastAsia"/>
          <w:lang w:val="en-US" w:eastAsia="zh-CN"/>
        </w:rPr>
      </w:pPr>
      <w:r>
        <w:rPr>
          <w:rFonts w:hint="eastAsia"/>
          <w:lang w:val="en-US" w:eastAsia="zh-CN"/>
        </w:rPr>
        <w:t>For RLM/BFD/CBD, we shall consider two points which are evaluation period requirements and hypothetical PDCCH transmission parameters.</w:t>
      </w:r>
    </w:p>
    <w:p>
      <w:pPr>
        <w:pStyle w:val="6"/>
        <w:rPr>
          <w:rFonts w:hint="default" w:ascii="Times New Roman" w:hAnsi="Times New Roman" w:eastAsia="Times New Roman"/>
          <w:sz w:val="20"/>
          <w:lang w:val="en-US" w:eastAsia="zh-CN"/>
        </w:rPr>
      </w:pPr>
      <w:r>
        <w:rPr>
          <w:rFonts w:hint="default"/>
          <w:lang w:val="en-US" w:eastAsia="zh-CN"/>
        </w:rPr>
        <w:t xml:space="preserve">2.1.2.1.1 PDCCH transmission </w:t>
      </w:r>
      <w:r>
        <w:rPr>
          <w:rFonts w:hint="eastAsia"/>
          <w:lang w:val="en-US" w:eastAsia="zh-CN"/>
        </w:rPr>
        <w:t xml:space="preserve">bandwidth </w:t>
      </w:r>
      <w:r>
        <w:rPr>
          <w:rFonts w:hint="default"/>
          <w:lang w:val="en-US" w:eastAsia="zh-CN"/>
        </w:rPr>
        <w:t>parameters</w:t>
      </w:r>
    </w:p>
    <w:p>
      <w:pPr>
        <w:rPr>
          <w:rFonts w:hint="default" w:eastAsia="Times New Roman"/>
          <w:lang w:val="en-US" w:eastAsia="zh-CN"/>
        </w:rPr>
      </w:pPr>
      <w:r>
        <w:rPr>
          <w:rFonts w:hint="default" w:eastAsia="Times New Roman"/>
          <w:lang w:val="en-US" w:eastAsia="zh-CN"/>
        </w:rPr>
        <w:t>In legacy</w:t>
      </w:r>
      <w:r>
        <w:rPr>
          <w:rFonts w:hint="default" w:ascii="Arial" w:hAnsi="Arial"/>
          <w:sz w:val="20"/>
          <w:lang w:val="en-US" w:eastAsia="zh-CN"/>
        </w:rPr>
        <w:t xml:space="preserve"> TN</w:t>
      </w:r>
      <w:r>
        <w:rPr>
          <w:rFonts w:hint="default" w:eastAsia="Times New Roman"/>
          <w:lang w:val="en-US" w:eastAsia="zh-CN"/>
        </w:rPr>
        <w:t>, RAN4 just discussed the PDCCH transmission parameters as below:</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894"/>
        <w:gridCol w:w="1770"/>
        <w:gridCol w:w="1796"/>
        <w:gridCol w:w="14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4"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Attribute</w:t>
            </w:r>
          </w:p>
        </w:tc>
        <w:tc>
          <w:tcPr>
            <w:tcW w:w="4993" w:type="dxa"/>
            <w:gridSpan w:val="3"/>
            <w:tcBorders>
              <w:top w:val="single" w:color="auto" w:sz="4" w:space="0"/>
              <w:left w:val="single" w:color="auto" w:sz="6" w:space="0"/>
              <w:bottom w:val="single" w:color="auto" w:sz="6" w:space="0"/>
              <w:right w:val="single" w:color="auto" w:sz="4" w:space="0"/>
            </w:tcBorders>
            <w:vAlign w:val="center"/>
          </w:tcPr>
          <w:p>
            <w:pPr>
              <w:pStyle w:val="44"/>
              <w:rPr>
                <w:rFonts w:ascii="Times New Roman" w:hAnsi="Times New Roman" w:eastAsia="?? ??"/>
              </w:rPr>
            </w:pPr>
            <w:r>
              <w:rPr>
                <w:rFonts w:ascii="Times New Roman" w:hAnsi="Times New Roman"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Channel BW</w:t>
            </w:r>
          </w:p>
        </w:tc>
        <w:tc>
          <w:tcPr>
            <w:tcW w:w="3566" w:type="dxa"/>
            <w:gridSpan w:val="2"/>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lang w:val="fi-FI"/>
              </w:rPr>
            </w:pPr>
            <w:r>
              <w:rPr>
                <w:rFonts w:ascii="Times New Roman" w:hAnsi="Times New Roman" w:eastAsia="?? ??"/>
                <w:lang w:val="fi-FI"/>
              </w:rPr>
              <w:t>3MHz</w:t>
            </w:r>
          </w:p>
        </w:tc>
        <w:tc>
          <w:tcPr>
            <w:tcW w:w="1427" w:type="dxa"/>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lang w:val="fi-FI"/>
              </w:rPr>
            </w:pPr>
            <w:r>
              <w:rPr>
                <w:rFonts w:ascii="Times New Roman" w:hAnsi="Times New Roman" w:eastAsia="?? ??"/>
                <w:lang w:val="fi-FI"/>
              </w:rPr>
              <w:t>5MHz</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894" w:type="dxa"/>
            <w:tcBorders>
              <w:top w:val="single" w:color="auto" w:sz="6" w:space="0"/>
              <w:left w:val="single" w:color="auto" w:sz="4" w:space="0"/>
              <w:bottom w:val="single" w:color="auto" w:sz="6" w:space="0"/>
              <w:right w:val="single" w:color="auto" w:sz="6" w:space="0"/>
            </w:tcBorders>
            <w:vAlign w:val="center"/>
          </w:tcPr>
          <w:p>
            <w:pPr>
              <w:pStyle w:val="44"/>
              <w:rPr>
                <w:rFonts w:ascii="Times New Roman" w:hAnsi="Times New Roman"/>
              </w:rPr>
            </w:pPr>
            <w:r>
              <w:rPr>
                <w:rFonts w:ascii="Times New Roman" w:hAnsi="Times New Roman"/>
              </w:rPr>
              <w:t>[DL Transmission BW]</w:t>
            </w:r>
          </w:p>
        </w:tc>
        <w:tc>
          <w:tcPr>
            <w:tcW w:w="1770" w:type="dxa"/>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12 PRBs</w:t>
            </w:r>
          </w:p>
        </w:tc>
        <w:tc>
          <w:tcPr>
            <w:tcW w:w="1796" w:type="dxa"/>
            <w:tcBorders>
              <w:top w:val="single" w:color="auto" w:sz="6" w:space="0"/>
              <w:left w:val="single" w:color="auto" w:sz="6" w:space="0"/>
              <w:bottom w:val="single" w:color="auto" w:sz="6" w:space="0"/>
              <w:right w:val="single" w:color="auto" w:sz="6" w:space="0"/>
            </w:tcBorders>
            <w:vAlign w:val="center"/>
          </w:tcPr>
          <w:p>
            <w:pPr>
              <w:pStyle w:val="44"/>
              <w:rPr>
                <w:rFonts w:ascii="Times New Roman" w:hAnsi="Times New Roman" w:eastAsia="?? ??"/>
                <w:highlight w:val="yellow"/>
                <w:lang w:val="fi-FI"/>
              </w:rPr>
            </w:pPr>
            <w:r>
              <w:rPr>
                <w:rFonts w:ascii="Times New Roman" w:hAnsi="Times New Roman" w:eastAsia="?? ??"/>
                <w:highlight w:val="yellow"/>
                <w:lang w:val="fi-FI"/>
              </w:rPr>
              <w:t xml:space="preserve"> 15 PRBs</w:t>
            </w:r>
          </w:p>
        </w:tc>
        <w:tc>
          <w:tcPr>
            <w:tcW w:w="1427" w:type="dxa"/>
            <w:tcBorders>
              <w:top w:val="single" w:color="auto" w:sz="6" w:space="0"/>
              <w:left w:val="single" w:color="auto" w:sz="6" w:space="0"/>
              <w:bottom w:val="single" w:color="auto" w:sz="6" w:space="0"/>
              <w:right w:val="single" w:color="auto" w:sz="4" w:space="0"/>
            </w:tcBorders>
          </w:tcPr>
          <w:p>
            <w:pPr>
              <w:pStyle w:val="44"/>
              <w:rPr>
                <w:rFonts w:ascii="Times New Roman" w:hAnsi="Times New Roman" w:eastAsia="?? ??"/>
                <w:highlight w:val="yellow"/>
                <w:lang w:val="fi-FI"/>
              </w:rPr>
            </w:pPr>
            <w:r>
              <w:rPr>
                <w:rFonts w:ascii="Times New Roman" w:hAnsi="Times New Roman" w:eastAsia="?? ??"/>
                <w:highlight w:val="yellow"/>
                <w:lang w:val="fi-FI"/>
              </w:rPr>
              <w:t xml:space="preserve"> 20 PRBs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We find that the BW is 12PRBs and 15PRBs for SSB based RLM in 3MHz case and also 20PRBs in 5MHz. 12PRBs and 15PRBs are enough to covering transmission of PSS/SSS which can effectively and continuously monitor the performance of radio link for RLM/BFD/CBD in legacy. However, only 15PRBs for 3MHz channel bandwidth with 15kHz SCS is enough as we mentioned before for less than 5MHz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4: The PDCCH transmission bandwidth for RLM/BFD/CBD shall be 15PRBs for 3MHz.</w:t>
      </w:r>
    </w:p>
    <w:p>
      <w:pPr>
        <w:pStyle w:val="6"/>
        <w:rPr>
          <w:rFonts w:hint="default"/>
          <w:lang w:val="en-US" w:eastAsia="zh-CN"/>
        </w:rPr>
      </w:pPr>
      <w:r>
        <w:rPr>
          <w:rFonts w:hint="default"/>
          <w:lang w:val="en-US" w:eastAsia="zh-CN"/>
        </w:rPr>
        <w:t>2.1.2.1.2 Evaluation period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The evaluation period for RLM/BFD/CBD has also been discussed in legacy：</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296" w:type="dxa"/>
          </w:tcPr>
          <w:p>
            <w:pPr>
              <w:rPr>
                <w:rFonts w:ascii="Times New Roman" w:hAnsi="Times New Roman" w:cs="Times New Roman"/>
                <w:sz w:val="24"/>
              </w:rPr>
            </w:pPr>
            <w:r>
              <w:rPr>
                <w:rFonts w:ascii="Times New Roman" w:hAnsi="Times New Roman" w:cs="Times New Roman"/>
                <w:sz w:val="24"/>
              </w:rPr>
              <w:t>RLM OOS evaluation period:</w:t>
            </w:r>
          </w:p>
          <w:p>
            <w:r>
              <w:rPr>
                <w:b/>
                <w:bCs/>
                <w:lang w:eastAsia="zh-CN"/>
              </w:rPr>
              <w:t xml:space="preserve">Agreement: </w:t>
            </w:r>
            <w:r>
              <w:rPr>
                <w:highlight w:val="green"/>
                <w:lang w:eastAsia="zh-CN"/>
              </w:rPr>
              <w:t>For SSB-based OOS in 3MHz, RAN4 will keep the existing SSB based RLM evaluation periods T</w:t>
            </w:r>
            <w:r>
              <w:rPr>
                <w:highlight w:val="green"/>
                <w:vertAlign w:val="subscript"/>
                <w:lang w:eastAsia="zh-CN"/>
              </w:rPr>
              <w:t>Evaluate_out_SSB</w:t>
            </w:r>
            <w:r>
              <w:rPr>
                <w:highlight w:val="green"/>
                <w:lang w:eastAsia="zh-CN"/>
              </w:rPr>
              <w:t xml:space="preserve"> for CBW less than 5MHz</w:t>
            </w:r>
          </w:p>
          <w:p>
            <w:pPr>
              <w:rPr>
                <w:rFonts w:ascii="Times New Roman" w:hAnsi="Times New Roman" w:cs="Times New Roman"/>
                <w:sz w:val="24"/>
              </w:rPr>
            </w:pPr>
            <w:r>
              <w:rPr>
                <w:rFonts w:ascii="Times New Roman" w:hAnsi="Times New Roman" w:cs="Times New Roman"/>
                <w:sz w:val="24"/>
              </w:rPr>
              <w:t>RLM IS evaluation period:</w:t>
            </w:r>
          </w:p>
          <w:p>
            <w:r>
              <w:rPr>
                <w:b/>
                <w:bCs/>
                <w:lang w:eastAsia="zh-CN"/>
              </w:rPr>
              <w:t xml:space="preserve">Agreement: </w:t>
            </w:r>
            <w:r>
              <w:rPr>
                <w:highlight w:val="green"/>
                <w:lang w:eastAsia="zh-CN"/>
              </w:rPr>
              <w:t>for SSB-based IS in 3MHz, RAN4 will keep the existing SSB based RLM evaluation periods T</w:t>
            </w:r>
            <w:r>
              <w:rPr>
                <w:highlight w:val="green"/>
                <w:vertAlign w:val="subscript"/>
                <w:lang w:eastAsia="zh-CN"/>
              </w:rPr>
              <w:t>Evaluate_in_SSB</w:t>
            </w:r>
            <w:r>
              <w:rPr>
                <w:highlight w:val="green"/>
                <w:lang w:eastAsia="zh-CN"/>
              </w:rPr>
              <w:t xml:space="preserve"> for CBW less than 5MHz</w:t>
            </w:r>
          </w:p>
          <w:p>
            <w:pPr>
              <w:rPr>
                <w:sz w:val="24"/>
                <w:lang w:eastAsia="en-US"/>
              </w:rPr>
            </w:pPr>
            <w:r>
              <w:rPr>
                <w:sz w:val="24"/>
                <w:lang w:eastAsia="en-US"/>
              </w:rPr>
              <w:t>Beam Failure Detection evaluation period:</w:t>
            </w:r>
          </w:p>
          <w:p>
            <w:pPr>
              <w:rPr>
                <w:lang w:eastAsia="zh-CN"/>
              </w:rPr>
            </w:pPr>
            <w:r>
              <w:rPr>
                <w:b/>
                <w:bCs/>
                <w:lang w:eastAsia="zh-CN"/>
              </w:rPr>
              <w:t xml:space="preserve">Agreement: </w:t>
            </w:r>
            <w:r>
              <w:rPr>
                <w:highlight w:val="green"/>
                <w:lang w:eastAsia="zh-CN"/>
              </w:rPr>
              <w:t>for SSB-based BFD in 3MHz, RAN4 will keep the existing SSB based BFD evaluation periods T</w:t>
            </w:r>
            <w:r>
              <w:rPr>
                <w:highlight w:val="green"/>
                <w:vertAlign w:val="subscript"/>
                <w:lang w:eastAsia="zh-CN"/>
              </w:rPr>
              <w:t>Evaluate_BFD_SSB</w:t>
            </w:r>
            <w:r>
              <w:rPr>
                <w:highlight w:val="green"/>
                <w:lang w:eastAsia="zh-CN"/>
              </w:rPr>
              <w:t xml:space="preserve"> for CBW less </w:t>
            </w:r>
            <w:r>
              <w:rPr>
                <w:rFonts w:hint="eastAsia"/>
                <w:highlight w:val="green"/>
                <w:lang w:eastAsia="zh-CN"/>
              </w:rPr>
              <w:t>than</w:t>
            </w:r>
            <w:r>
              <w:rPr>
                <w:highlight w:val="green"/>
                <w:lang w:eastAsia="zh-CN"/>
              </w:rPr>
              <w:t xml:space="preserve"> 5MHz</w:t>
            </w:r>
          </w:p>
          <w:p>
            <w:pPr>
              <w:rPr>
                <w:sz w:val="24"/>
                <w:lang w:eastAsia="en-US"/>
              </w:rPr>
            </w:pPr>
            <w:r>
              <w:rPr>
                <w:sz w:val="24"/>
                <w:lang w:eastAsia="en-US"/>
              </w:rPr>
              <w:t>Candidate beam detection evaluation period:</w:t>
            </w:r>
          </w:p>
          <w:p>
            <w:pPr>
              <w:rPr>
                <w:rFonts w:ascii="Times New Roman" w:hAnsi="Times New Roman" w:cs="Times New Roman"/>
                <w:lang w:val="en-GB"/>
              </w:rPr>
            </w:pPr>
            <w:r>
              <w:rPr>
                <w:b/>
                <w:bCs/>
                <w:highlight w:val="green"/>
                <w:lang w:eastAsia="zh-CN"/>
              </w:rPr>
              <w:t>Agreement</w:t>
            </w:r>
            <w:r>
              <w:rPr>
                <w:highlight w:val="green"/>
                <w:lang w:eastAsia="zh-CN"/>
              </w:rPr>
              <w:t>: for SSB-based CBD in 3MHz, RAN4 will apply the existing SSB based CBD evaluation period T</w:t>
            </w:r>
            <w:r>
              <w:rPr>
                <w:highlight w:val="green"/>
                <w:vertAlign w:val="subscript"/>
                <w:lang w:eastAsia="zh-CN"/>
              </w:rPr>
              <w:t>Evaluate_CBD_SSB</w:t>
            </w:r>
            <w:r>
              <w:rPr>
                <w:highlight w:val="green"/>
                <w:lang w:eastAsia="zh-CN"/>
              </w:rPr>
              <w:t xml:space="preserve"> for CBW less </w:t>
            </w:r>
            <w:r>
              <w:rPr>
                <w:rFonts w:hint="eastAsia"/>
                <w:highlight w:val="green"/>
                <w:lang w:eastAsia="zh-CN"/>
              </w:rPr>
              <w:t>than</w:t>
            </w:r>
            <w:r>
              <w:rPr>
                <w:highlight w:val="green"/>
                <w:lang w:eastAsia="zh-CN"/>
              </w:rPr>
              <w:t xml:space="preserve"> 5MHz</w:t>
            </w:r>
            <w:r>
              <w:rPr>
                <w:lang w:eastAsia="zh-CN"/>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In legacy, RAN4 kept all the existing SSB related RLM/BFD/CBD evaluation period for CBW less than 5MHz.Thus, we  consider that the legacy RLM/BFD/CBD evaluation period for less than 5MHz in TN can be reused when defining the requirements for less than 5MHz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2: In legacy, RAN4 kept all the existing SSB related RLM/BFD/CBD evaluation period for CBW less than 5MHz.</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5: The legacy RLM/BFD/CBD evaluation period for less than 5MHz in TN can be reused when defining the related requirements for less than 5MHz in NTN scenario.</w:t>
      </w:r>
    </w:p>
    <w:p>
      <w:pPr>
        <w:pStyle w:val="5"/>
        <w:rPr>
          <w:rFonts w:hint="default"/>
          <w:lang w:val="en-US" w:eastAsia="zh-CN"/>
        </w:rPr>
      </w:pPr>
      <w:r>
        <w:rPr>
          <w:rFonts w:hint="eastAsia"/>
          <w:lang w:val="en-US" w:eastAsia="zh-CN"/>
        </w:rPr>
        <w:t>2.1.2.2 RRC Re-establishment/ RRC Connection release with redirection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b w:val="0"/>
          <w:bCs w:val="0"/>
          <w:sz w:val="22"/>
          <w:lang w:val="en-US" w:eastAsia="zh-CN"/>
        </w:rPr>
        <w:t xml:space="preserve">For this issue, the main requirements is the time for identifying the target NR cell in legacy TN and NTN which based on the SSB side conditions, the serving cell SSB </w:t>
      </w:r>
      <w:r>
        <w:rPr>
          <w:rFonts w:hint="eastAsia" w:eastAsia="宋体"/>
          <w:sz w:val="22"/>
          <w:lang w:val="en-US" w:eastAsia="zh-CN"/>
        </w:rPr>
        <w:t>Ês/Iot≥-8dB. However, we do not find the change of the SSB side conditions if the RRM requirement will be reused and even there is no RRM requirements for less than 5MHz in TN in spec []. Thus, we deem that for RRC Re-establishment/RRC connection Release with re-direction, there is no RRM impacts on 3MHz in NTN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lang w:val="en-US" w:eastAsia="zh-CN"/>
        </w:rPr>
      </w:pPr>
      <w:r>
        <w:rPr>
          <w:rFonts w:hint="eastAsia" w:eastAsia="宋体"/>
          <w:b/>
          <w:bCs/>
          <w:sz w:val="22"/>
          <w:lang w:val="en-US" w:eastAsia="zh-CN"/>
        </w:rPr>
        <w:t>Observation 3: There is no RRM requirements for less than 5MHz in 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Proposal 6: For RRC re-establishment and RRC connection release with redirection, there is no RRM impacts on  3MHz in NTN scenario.</w:t>
      </w:r>
    </w:p>
    <w:p>
      <w:pPr>
        <w:pStyle w:val="5"/>
        <w:rPr>
          <w:rFonts w:hint="default"/>
          <w:lang w:val="en-US" w:eastAsia="zh-CN"/>
        </w:rPr>
      </w:pPr>
      <w:r>
        <w:rPr>
          <w:rFonts w:hint="eastAsia"/>
          <w:lang w:val="en-US" w:eastAsia="zh-CN"/>
        </w:rPr>
        <w:t>2.1.2.3 Timing requirements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In R17/R18 NTN timing related discussion, the UE timing including UE transmit timing, timing advance adjustment accuracy etc. The main concerns for NTN timing error (Te) is coming from time difference and Doppler shift instead of the channel bandwidth. Thus, we do not find any enhancement for timing requirements for less than 5MHz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eastAsia="宋体"/>
          <w:b/>
          <w:bCs/>
          <w:sz w:val="22"/>
          <w:lang w:val="en-US" w:eastAsia="zh-CN"/>
        </w:rPr>
        <w:t>Observation 4: The main concerns for NTN timing error (Te) is coming from time difference and Doppler shift instead of the channel bandwidth and we do not find any enhancement for timing requirements for less than 5MHz in NTN.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lang w:val="en-US" w:eastAsia="zh-CN"/>
        </w:rPr>
      </w:pPr>
      <w:r>
        <w:rPr>
          <w:rFonts w:hint="eastAsia" w:eastAsia="宋体"/>
          <w:b/>
          <w:bCs/>
          <w:sz w:val="22"/>
          <w:lang w:val="en-US" w:eastAsia="zh-CN"/>
        </w:rPr>
        <w:t>Proposal 7: RAN4 shall reuse the existing NTN timing requirements for less than 5MHz in NTN.</w:t>
      </w:r>
    </w:p>
    <w:p>
      <w:pPr>
        <w:pStyle w:val="5"/>
        <w:rPr>
          <w:rFonts w:hint="default"/>
          <w:lang w:val="en-US" w:eastAsia="zh-CN"/>
        </w:rPr>
      </w:pPr>
      <w:r>
        <w:rPr>
          <w:rFonts w:hint="eastAsia"/>
          <w:lang w:val="en-US" w:eastAsia="zh-CN"/>
        </w:rPr>
        <w:t xml:space="preserve">2.1.2.5 Handover/Conditional handover/Satellite switch </w:t>
      </w:r>
    </w:p>
    <w:p>
      <w:pPr>
        <w:rPr>
          <w:rFonts w:hint="eastAsia"/>
          <w:lang w:val="en-US" w:eastAsia="zh-CN"/>
        </w:rPr>
      </w:pPr>
      <w:r>
        <w:rPr>
          <w:rFonts w:hint="eastAsia"/>
          <w:lang w:val="en-US" w:eastAsia="zh-CN"/>
        </w:rPr>
        <w:t>In the last meeting, we reached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after="120"/>
              <w:rPr>
                <w:color w:val="0070C0"/>
              </w:rPr>
            </w:pPr>
            <w:r>
              <w:rPr>
                <w:rFonts w:hint="eastAsia"/>
                <w:color w:val="0070C0"/>
                <w:lang w:eastAsia="zh-CN"/>
              </w:rPr>
              <w:t>Agreement</w:t>
            </w:r>
            <w:r>
              <w:rPr>
                <w:color w:val="0070C0"/>
              </w:rPr>
              <w:t xml:space="preserve">: </w:t>
            </w:r>
          </w:p>
          <w:p>
            <w:pPr>
              <w:spacing w:after="120" w:line="259" w:lineRule="auto"/>
              <w:rPr>
                <w:bCs/>
                <w:iCs/>
                <w:highlight w:val="green"/>
                <w:lang w:eastAsia="zh-CN"/>
              </w:rPr>
            </w:pPr>
            <w:r>
              <w:rPr>
                <w:rFonts w:hint="eastAsia"/>
                <w:bCs/>
                <w:iCs/>
                <w:highlight w:val="green"/>
                <w:lang w:eastAsia="zh-CN"/>
              </w:rPr>
              <w:t>D</w:t>
            </w:r>
            <w:r>
              <w:rPr>
                <w:bCs/>
                <w:iCs/>
                <w:highlight w:val="green"/>
                <w:lang w:eastAsia="zh-CN"/>
              </w:rPr>
              <w:t xml:space="preserve">efine HO delay requirement for NTN less than 5MHz, and take extension of delay for TN less than 5MHz as baseline. </w:t>
            </w:r>
          </w:p>
          <w:p>
            <w:pPr>
              <w:spacing w:after="120" w:line="259" w:lineRule="auto"/>
              <w:rPr>
                <w:bCs/>
                <w:iCs/>
                <w:highlight w:val="green"/>
                <w:lang w:eastAsia="zh-CN"/>
              </w:rPr>
            </w:pPr>
            <w:r>
              <w:rPr>
                <w:bCs/>
                <w:iCs/>
                <w:highlight w:val="green"/>
                <w:lang w:eastAsia="zh-CN"/>
              </w:rPr>
              <w:t>For NTN specific HO requirement:</w:t>
            </w:r>
          </w:p>
          <w:p>
            <w:pPr>
              <w:pStyle w:val="72"/>
              <w:widowControl w:val="0"/>
              <w:numPr>
                <w:ilvl w:val="0"/>
                <w:numId w:val="4"/>
              </w:numPr>
              <w:overflowPunct/>
              <w:autoSpaceDE/>
              <w:autoSpaceDN/>
              <w:adjustRightInd/>
              <w:spacing w:after="120" w:line="259" w:lineRule="auto"/>
              <w:ind w:firstLineChars="0"/>
              <w:jc w:val="both"/>
              <w:textAlignment w:val="auto"/>
              <w:rPr>
                <w:bCs/>
                <w:iCs/>
                <w:highlight w:val="green"/>
              </w:rPr>
            </w:pPr>
            <w:r>
              <w:rPr>
                <w:bCs/>
                <w:iCs/>
                <w:highlight w:val="green"/>
              </w:rPr>
              <w:t xml:space="preserve">Time/location-based CHO delay requirement will be defined for NTN less than 5MHz. </w:t>
            </w:r>
          </w:p>
          <w:p>
            <w:pPr>
              <w:pStyle w:val="72"/>
              <w:widowControl w:val="0"/>
              <w:numPr>
                <w:ilvl w:val="0"/>
                <w:numId w:val="4"/>
              </w:numPr>
              <w:overflowPunct/>
              <w:autoSpaceDE/>
              <w:autoSpaceDN/>
              <w:adjustRightInd/>
              <w:spacing w:after="120" w:line="259" w:lineRule="auto"/>
              <w:ind w:firstLineChars="0"/>
              <w:jc w:val="both"/>
              <w:textAlignment w:val="auto"/>
              <w:rPr>
                <w:bCs/>
                <w:iCs/>
                <w:highlight w:val="green"/>
              </w:rPr>
            </w:pPr>
            <w:r>
              <w:rPr>
                <w:bCs/>
                <w:iCs/>
                <w:highlight w:val="green"/>
              </w:rPr>
              <w:t>Satellite switch time requirement will be defined for NTN less than 5MHz.</w:t>
            </w:r>
          </w:p>
          <w:p>
            <w:pPr>
              <w:pStyle w:val="72"/>
              <w:widowControl w:val="0"/>
              <w:numPr>
                <w:ilvl w:val="0"/>
                <w:numId w:val="4"/>
              </w:numPr>
              <w:overflowPunct/>
              <w:autoSpaceDE/>
              <w:autoSpaceDN/>
              <w:adjustRightInd/>
              <w:spacing w:after="120" w:line="259" w:lineRule="auto"/>
              <w:ind w:firstLineChars="0"/>
              <w:jc w:val="both"/>
              <w:textAlignment w:val="auto"/>
              <w:rPr>
                <w:bCs/>
                <w:iCs/>
                <w:highlight w:val="green"/>
              </w:rPr>
            </w:pPr>
            <w:r>
              <w:rPr>
                <w:bCs/>
                <w:iCs/>
                <w:highlight w:val="green"/>
              </w:rPr>
              <w:t>Further discuss the details of the requirements.</w:t>
            </w:r>
          </w:p>
          <w:p>
            <w:pPr>
              <w:rPr>
                <w:rFonts w:hint="default"/>
                <w:vertAlign w:val="baseline"/>
                <w:lang w:val="en-US" w:eastAsia="zh-CN"/>
              </w:rPr>
            </w:pPr>
          </w:p>
        </w:tc>
      </w:tr>
    </w:tbl>
    <w:p>
      <w:pPr>
        <w:rPr>
          <w:rFonts w:hint="default"/>
          <w:lang w:val="en-US" w:eastAsia="zh-CN"/>
        </w:rPr>
      </w:pPr>
      <w:r>
        <w:rPr>
          <w:rFonts w:hint="eastAsia"/>
          <w:lang w:val="en-US" w:eastAsia="zh-CN"/>
        </w:rPr>
        <w:t>We will study the related delay requirements for handover.</w:t>
      </w:r>
    </w:p>
    <w:p>
      <w:pPr>
        <w:pStyle w:val="6"/>
        <w:rPr>
          <w:rFonts w:hint="eastAsia"/>
          <w:sz w:val="24"/>
          <w:szCs w:val="21"/>
          <w:lang w:val="en-US" w:eastAsia="zh-CN"/>
        </w:rPr>
      </w:pPr>
      <w:r>
        <w:rPr>
          <w:rFonts w:hint="eastAsia"/>
          <w:sz w:val="24"/>
          <w:szCs w:val="21"/>
          <w:lang w:val="en-US" w:eastAsia="zh-CN"/>
        </w:rPr>
        <w:t xml:space="preserve">2.1.2.5.1 Handover </w:t>
      </w:r>
    </w:p>
    <w:p>
      <w:pPr>
        <w:rPr>
          <w:rFonts w:hint="eastAsia"/>
          <w:lang w:val="en-US" w:eastAsia="zh-CN"/>
        </w:rPr>
      </w:pPr>
      <w:r>
        <w:rPr>
          <w:rFonts w:hint="eastAsia"/>
          <w:lang w:val="en-US" w:eastAsia="zh-CN"/>
        </w:rPr>
        <w:t>When we decide to analyze the handover in NTN scenario, RACH-based and RACH-less shall be studied. The main difference is the time the UE starts transmission of the new PRACH or PUSCH. The main different component is T</w:t>
      </w:r>
      <w:r>
        <w:rPr>
          <w:rFonts w:hint="eastAsia"/>
          <w:vertAlign w:val="subscript"/>
          <w:lang w:val="en-US" w:eastAsia="zh-CN"/>
        </w:rPr>
        <w:t>IU</w:t>
      </w:r>
      <w:r>
        <w:rPr>
          <w:rFonts w:hint="eastAsia"/>
          <w:lang w:val="en-US" w:eastAsia="zh-CN"/>
        </w:rPr>
        <w:t>,</w:t>
      </w:r>
    </w:p>
    <w:p>
      <w:pPr>
        <w:pStyle w:val="35"/>
        <w:jc w:val="cente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hint="eastAsia"/>
          <w:lang w:val="en-US" w:eastAsia="zh-CN"/>
        </w:rPr>
      </w:pPr>
      <w:r>
        <w:rPr>
          <w:rFonts w:hint="eastAsia"/>
          <w:lang w:val="en-US" w:eastAsia="zh-CN"/>
        </w:rPr>
        <w:t>In RACH-based handover, T</w:t>
      </w:r>
      <w:r>
        <w:rPr>
          <w:rFonts w:hint="eastAsia"/>
          <w:vertAlign w:val="subscript"/>
          <w:lang w:val="en-US" w:eastAsia="zh-CN"/>
        </w:rPr>
        <w:t>IU</w:t>
      </w:r>
      <w:r>
        <w:rPr>
          <w:rFonts w:hint="eastAsia"/>
          <w:lang w:val="en-US" w:eastAsia="zh-CN"/>
        </w:rPr>
        <w:t xml:space="preserve"> is the interruption uncertainty in acquiring the first available PRACH occasion in the new cell.</w:t>
      </w:r>
    </w:p>
    <w:p>
      <w:pPr>
        <w:rPr>
          <w:rFonts w:hint="eastAsia"/>
          <w:lang w:val="en-US" w:eastAsia="zh-CN"/>
        </w:rPr>
      </w:pPr>
      <w:r>
        <w:rPr>
          <w:rFonts w:hint="eastAsia"/>
          <w:lang w:val="en-US" w:eastAsia="zh-CN"/>
        </w:rPr>
        <w:t>In RACH-less handover, T</w:t>
      </w:r>
      <w:r>
        <w:rPr>
          <w:rFonts w:hint="eastAsia"/>
          <w:vertAlign w:val="subscript"/>
          <w:lang w:val="en-US" w:eastAsia="zh-CN"/>
        </w:rPr>
        <w:t>IU</w:t>
      </w:r>
      <w:r>
        <w:rPr>
          <w:rFonts w:hint="eastAsia"/>
          <w:lang w:val="en-US" w:eastAsia="zh-CN"/>
        </w:rPr>
        <w:t xml:space="preserve"> is the interruption uncertainty in acquiring the first UL transmission resource.</w:t>
      </w:r>
    </w:p>
    <w:p>
      <w:pPr>
        <w:rPr>
          <w:rFonts w:hint="eastAsia"/>
          <w:lang w:val="en-US" w:eastAsia="zh-CN"/>
        </w:rPr>
      </w:pPr>
      <w:r>
        <w:rPr>
          <w:rFonts w:hint="eastAsia"/>
          <w:lang w:val="en-US" w:eastAsia="zh-CN"/>
        </w:rPr>
        <w:t>For the other components, they have the same understanding without change. Now, we mainly study the punctured PBCH scenario, we shall study the each component which will be impacted by punctured PBCH. Based on the definition of each component, we find Tsearch and TΔ shall be studied without T</w:t>
      </w:r>
      <w:r>
        <w:rPr>
          <w:rFonts w:hint="eastAsia"/>
          <w:vertAlign w:val="subscript"/>
          <w:lang w:val="en-US" w:eastAsia="zh-CN"/>
        </w:rPr>
        <w:t>IU</w:t>
      </w:r>
      <w:r>
        <w:rPr>
          <w:rFonts w:hint="eastAsia"/>
          <w:lang w:val="en-US" w:eastAsia="zh-CN"/>
        </w:rPr>
        <w:t xml:space="preserve"> since they depends on the SSB index reading. Thus, we deem that the enhancement shall be considered for these two parameters. We also find the legacy agreement for less than 5MHz in TN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numPr>
                <w:ilvl w:val="0"/>
                <w:numId w:val="0"/>
              </w:numPr>
              <w:overflowPunct w:val="0"/>
              <w:autoSpaceDE w:val="0"/>
              <w:autoSpaceDN w:val="0"/>
              <w:adjustRightInd w:val="0"/>
              <w:textAlignment w:val="baseline"/>
              <w:rPr>
                <w:rFonts w:hint="default" w:eastAsia="宋体"/>
                <w:lang w:val="en-US" w:eastAsia="zh-CN"/>
              </w:rPr>
            </w:pPr>
            <w:r>
              <w:rPr>
                <w:rFonts w:hint="eastAsia" w:eastAsia="宋体"/>
                <w:lang w:val="en-US" w:eastAsia="zh-CN"/>
              </w:rPr>
              <w:t>Agreement:</w:t>
            </w:r>
          </w:p>
          <w:p>
            <w:pPr>
              <w:pStyle w:val="72"/>
              <w:numPr>
                <w:ilvl w:val="0"/>
                <w:numId w:val="0"/>
              </w:numPr>
              <w:overflowPunct w:val="0"/>
              <w:autoSpaceDE w:val="0"/>
              <w:autoSpaceDN w:val="0"/>
              <w:adjustRightInd w:val="0"/>
              <w:textAlignment w:val="baseline"/>
              <w:rPr>
                <w:lang w:eastAsia="en-GB"/>
              </w:rPr>
            </w:pPr>
            <w:r>
              <w:rPr>
                <w:lang w:eastAsia="en-GB"/>
              </w:rPr>
              <w:t>T</w:t>
            </w:r>
            <w:r>
              <w:rPr>
                <w:vertAlign w:val="subscript"/>
                <w:lang w:eastAsia="en-GB"/>
              </w:rPr>
              <w:t>∆</w:t>
            </w:r>
            <w:r>
              <w:rPr>
                <w:lang w:eastAsia="en-GB"/>
              </w:rPr>
              <w:t xml:space="preserve"> = T</w:t>
            </w:r>
            <w:r>
              <w:rPr>
                <w:vertAlign w:val="subscript"/>
                <w:lang w:eastAsia="en-GB"/>
              </w:rPr>
              <w:t xml:space="preserve">rs </w:t>
            </w:r>
            <w:r>
              <w:rPr>
                <w:lang w:eastAsia="en-GB"/>
              </w:rPr>
              <w:t xml:space="preserve">for both known and unknown target cells operating with 20 PRB SSB BW. </w:t>
            </w:r>
          </w:p>
          <w:p>
            <w:pPr>
              <w:pStyle w:val="72"/>
              <w:numPr>
                <w:ilvl w:val="0"/>
                <w:numId w:val="0"/>
              </w:numPr>
              <w:overflowPunct w:val="0"/>
              <w:autoSpaceDE w:val="0"/>
              <w:autoSpaceDN w:val="0"/>
              <w:adjustRightInd w:val="0"/>
              <w:textAlignment w:val="baseline"/>
              <w:rPr>
                <w:rFonts w:hint="default"/>
                <w:vertAlign w:val="baseline"/>
                <w:lang w:val="en-US" w:eastAsia="zh-CN"/>
              </w:rPr>
            </w:pPr>
            <w:r>
              <w:rPr>
                <w:highlight w:val="green"/>
                <w:lang w:eastAsia="en-GB"/>
              </w:rPr>
              <w:t>T</w:t>
            </w:r>
            <w:r>
              <w:rPr>
                <w:highlight w:val="green"/>
                <w:vertAlign w:val="subscript"/>
                <w:lang w:eastAsia="en-GB"/>
              </w:rPr>
              <w:t>∆</w:t>
            </w:r>
            <w:r>
              <w:rPr>
                <w:highlight w:val="green"/>
                <w:lang w:eastAsia="en-GB"/>
              </w:rPr>
              <w:t xml:space="preserve"> = 3*T</w:t>
            </w:r>
            <w:r>
              <w:rPr>
                <w:highlight w:val="green"/>
                <w:vertAlign w:val="subscript"/>
                <w:lang w:eastAsia="en-GB"/>
              </w:rPr>
              <w:t xml:space="preserve">rs </w:t>
            </w:r>
            <w:r>
              <w:rPr>
                <w:highlight w:val="green"/>
                <w:lang w:eastAsia="en-GB"/>
              </w:rPr>
              <w:t>for both known and unknown target cells operating with 12 PRB SSB BW.</w:t>
            </w:r>
            <w:r>
              <w:rPr>
                <w:lang w:eastAsia="en-GB"/>
              </w:rPr>
              <w:t xml:space="preserve"> </w:t>
            </w:r>
          </w:p>
        </w:tc>
      </w:tr>
    </w:tbl>
    <w:p>
      <w:pPr>
        <w:rPr>
          <w:rFonts w:hint="eastAsia"/>
          <w:lang w:val="en-US" w:eastAsia="zh-CN"/>
        </w:rPr>
      </w:pPr>
      <w:r>
        <w:rPr>
          <w:rFonts w:hint="eastAsia"/>
          <w:lang w:val="en-US" w:eastAsia="zh-CN"/>
        </w:rPr>
        <w:t>Since the PBCH has been partially punctured,the time for fine time tracking and acquiring full timing information of the target cell shall be extended which is three times as larger than the legacy TN in order to reduce the fine time tracking inaccuracy. We would like to provide the table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rPr>
                <w:rFonts w:hint="default"/>
                <w:vertAlign w:val="baseline"/>
                <w:lang w:val="en-US" w:eastAsia="zh-CN"/>
              </w:rPr>
            </w:pPr>
          </w:p>
        </w:tc>
        <w:tc>
          <w:tcPr>
            <w:tcW w:w="2464" w:type="dxa"/>
          </w:tcPr>
          <w:p>
            <w:pPr>
              <w:rPr>
                <w:rFonts w:hint="default"/>
                <w:vertAlign w:val="baseline"/>
                <w:lang w:val="en-US" w:eastAsia="zh-CN"/>
              </w:rPr>
            </w:pPr>
            <w:r>
              <w:rPr>
                <w:rFonts w:hint="eastAsia"/>
                <w:vertAlign w:val="baseline"/>
                <w:lang w:val="en-US" w:eastAsia="zh-CN"/>
              </w:rPr>
              <w:t>Legacy TN</w:t>
            </w:r>
          </w:p>
        </w:tc>
        <w:tc>
          <w:tcPr>
            <w:tcW w:w="2464" w:type="dxa"/>
          </w:tcPr>
          <w:p>
            <w:pPr>
              <w:rPr>
                <w:rFonts w:hint="default"/>
                <w:vertAlign w:val="baseline"/>
                <w:lang w:val="en-US" w:eastAsia="zh-CN"/>
              </w:rPr>
            </w:pPr>
            <w:r>
              <w:rPr>
                <w:rFonts w:hint="eastAsia"/>
                <w:vertAlign w:val="baseline"/>
                <w:lang w:val="en-US" w:eastAsia="zh-CN"/>
              </w:rPr>
              <w:t>Legacy 3MHz in TN</w:t>
            </w:r>
          </w:p>
        </w:tc>
        <w:tc>
          <w:tcPr>
            <w:tcW w:w="2465" w:type="dxa"/>
          </w:tcPr>
          <w:p>
            <w:pPr>
              <w:rPr>
                <w:rFonts w:hint="default"/>
                <w:vertAlign w:val="baseline"/>
                <w:lang w:val="en-US" w:eastAsia="zh-CN"/>
              </w:rPr>
            </w:pPr>
            <w:r>
              <w:rPr>
                <w:rFonts w:hint="eastAsia"/>
                <w:vertAlign w:val="baseline"/>
                <w:lang w:val="en-US" w:eastAsia="zh-CN"/>
              </w:rPr>
              <w:t>Legacy FR1-NTN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rPr>
                <w:rFonts w:hint="default"/>
                <w:vertAlign w:val="baseline"/>
                <w:lang w:val="en-US" w:eastAsia="zh-CN"/>
              </w:rPr>
            </w:pPr>
            <w:r>
              <w:rPr>
                <w:rFonts w:hint="eastAsia"/>
                <w:vertAlign w:val="baseline"/>
                <w:lang w:val="en-US" w:eastAsia="zh-CN"/>
              </w:rPr>
              <w:t>Tsearch</w:t>
            </w:r>
          </w:p>
        </w:tc>
        <w:tc>
          <w:tcPr>
            <w:tcW w:w="2464" w:type="dxa"/>
          </w:tcPr>
          <w:p>
            <w:pPr>
              <w:rPr>
                <w:rFonts w:hint="default"/>
                <w:vertAlign w:val="baseline"/>
                <w:lang w:val="en-US" w:eastAsia="zh-CN"/>
              </w:rPr>
            </w:pPr>
            <w:r>
              <w:rPr>
                <w:rFonts w:hint="eastAsia"/>
                <w:vertAlign w:val="baseline"/>
                <w:lang w:val="en-US" w:eastAsia="zh-CN"/>
              </w:rPr>
              <w:t>Intra-fre cell: Trs</w:t>
            </w:r>
          </w:p>
          <w:p>
            <w:pPr>
              <w:rPr>
                <w:rFonts w:hint="default"/>
                <w:vertAlign w:val="baseline"/>
                <w:lang w:val="en-US" w:eastAsia="zh-CN"/>
              </w:rPr>
            </w:pPr>
            <w:r>
              <w:rPr>
                <w:rFonts w:hint="eastAsia"/>
                <w:vertAlign w:val="baseline"/>
                <w:lang w:val="en-US" w:eastAsia="zh-CN"/>
              </w:rPr>
              <w:t>Inter-fre cell: 3*Trs</w:t>
            </w:r>
          </w:p>
        </w:tc>
        <w:tc>
          <w:tcPr>
            <w:tcW w:w="2464" w:type="dxa"/>
          </w:tcPr>
          <w:p>
            <w:pPr>
              <w:rPr>
                <w:rFonts w:hint="default"/>
                <w:vertAlign w:val="baseline"/>
                <w:lang w:val="en-US" w:eastAsia="zh-CN"/>
              </w:rPr>
            </w:pPr>
            <w:r>
              <w:rPr>
                <w:rFonts w:hint="eastAsia"/>
                <w:vertAlign w:val="baseline"/>
                <w:lang w:val="en-US" w:eastAsia="zh-CN"/>
              </w:rPr>
              <w:t>Intra-fre cell: Trs</w:t>
            </w:r>
          </w:p>
          <w:p>
            <w:pPr>
              <w:rPr>
                <w:rFonts w:hint="default"/>
                <w:vertAlign w:val="baseline"/>
                <w:lang w:val="en-US" w:eastAsia="zh-CN"/>
              </w:rPr>
            </w:pPr>
            <w:r>
              <w:rPr>
                <w:rFonts w:hint="eastAsia"/>
                <w:vertAlign w:val="baseline"/>
                <w:lang w:val="en-US" w:eastAsia="zh-CN"/>
              </w:rPr>
              <w:t>Inter-fre cell: 3*Trs</w:t>
            </w:r>
          </w:p>
        </w:tc>
        <w:tc>
          <w:tcPr>
            <w:tcW w:w="2465" w:type="dxa"/>
          </w:tcPr>
          <w:p>
            <w:pPr>
              <w:rPr>
                <w:rFonts w:hint="default"/>
                <w:vertAlign w:val="baseline"/>
                <w:lang w:val="en-US" w:eastAsia="zh-CN"/>
              </w:rPr>
            </w:pPr>
            <w:r>
              <w:rPr>
                <w:rFonts w:hint="eastAsia"/>
                <w:vertAlign w:val="baseline"/>
                <w:lang w:val="en-US" w:eastAsia="zh-CN"/>
              </w:rPr>
              <w:t>Intra-fre cell: Trs</w:t>
            </w:r>
          </w:p>
          <w:p>
            <w:pPr>
              <w:rPr>
                <w:rFonts w:hint="default"/>
                <w:vertAlign w:val="baseline"/>
                <w:lang w:val="en-US" w:eastAsia="zh-CN"/>
              </w:rPr>
            </w:pPr>
            <w:r>
              <w:rPr>
                <w:rFonts w:hint="eastAsia"/>
                <w:vertAlign w:val="baseline"/>
                <w:lang w:val="en-US" w:eastAsia="zh-CN"/>
              </w:rPr>
              <w:t>Inter-fre cell: 3*Trs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rPr>
                <w:rFonts w:hint="default"/>
                <w:vertAlign w:val="baseline"/>
                <w:lang w:val="en-US" w:eastAsia="zh-CN"/>
              </w:rPr>
            </w:pPr>
            <w:r>
              <w:rPr>
                <w:lang w:eastAsia="en-GB"/>
              </w:rPr>
              <w:t>T</w:t>
            </w:r>
            <w:r>
              <w:rPr>
                <w:vertAlign w:val="subscript"/>
                <w:lang w:eastAsia="en-GB"/>
              </w:rPr>
              <w:t>∆</w:t>
            </w:r>
          </w:p>
        </w:tc>
        <w:tc>
          <w:tcPr>
            <w:tcW w:w="2464" w:type="dxa"/>
          </w:tcPr>
          <w:p>
            <w:pPr>
              <w:rPr>
                <w:rFonts w:hint="default"/>
                <w:vertAlign w:val="baseline"/>
                <w:lang w:val="en-US" w:eastAsia="zh-CN"/>
              </w:rPr>
            </w:pPr>
            <w:r>
              <w:rPr>
                <w:rFonts w:hint="eastAsia"/>
                <w:vertAlign w:val="baseline"/>
                <w:lang w:val="en-US" w:eastAsia="zh-CN"/>
              </w:rPr>
              <w:t>Trs</w:t>
            </w:r>
          </w:p>
        </w:tc>
        <w:tc>
          <w:tcPr>
            <w:tcW w:w="2464" w:type="dxa"/>
          </w:tcPr>
          <w:p>
            <w:pPr>
              <w:rPr>
                <w:rFonts w:hint="default"/>
                <w:vertAlign w:val="baseline"/>
                <w:lang w:val="en-US" w:eastAsia="zh-CN"/>
              </w:rPr>
            </w:pPr>
            <w:r>
              <w:rPr>
                <w:rFonts w:hint="eastAsia"/>
                <w:vertAlign w:val="baseline"/>
                <w:lang w:val="en-US" w:eastAsia="zh-CN"/>
              </w:rPr>
              <w:t>3*Trs</w:t>
            </w:r>
          </w:p>
        </w:tc>
        <w:tc>
          <w:tcPr>
            <w:tcW w:w="2465" w:type="dxa"/>
          </w:tcPr>
          <w:p>
            <w:pPr>
              <w:rPr>
                <w:rFonts w:hint="default"/>
                <w:vertAlign w:val="baseline"/>
                <w:lang w:val="en-US" w:eastAsia="zh-CN"/>
              </w:rPr>
            </w:pPr>
            <w:r>
              <w:rPr>
                <w:rFonts w:hint="eastAsia"/>
                <w:vertAlign w:val="baseline"/>
                <w:lang w:val="en-US" w:eastAsia="zh-CN"/>
              </w:rPr>
              <w:t>Trs</w:t>
            </w:r>
          </w:p>
        </w:tc>
      </w:tr>
    </w:tbl>
    <w:p>
      <w:pPr>
        <w:rPr>
          <w:rFonts w:hint="default"/>
          <w:lang w:val="en-US" w:eastAsia="zh-CN"/>
        </w:rPr>
      </w:pPr>
      <w:r>
        <w:rPr>
          <w:rFonts w:hint="eastAsia"/>
          <w:lang w:val="en-US" w:eastAsia="zh-CN"/>
        </w:rPr>
        <w:t>Based on the above two tables and ahead analysis, although Tsearch and TΔ are both impacted, only TΔ was updated and Tsearch maintains the original value under the same condition (</w:t>
      </w:r>
      <w:r>
        <w:rPr>
          <w:rFonts w:hint="eastAsia" w:eastAsia="宋体"/>
          <w:b w:val="0"/>
          <w:bCs w:val="0"/>
          <w:sz w:val="22"/>
          <w:lang w:val="en-US" w:eastAsia="zh-CN"/>
        </w:rPr>
        <w:t xml:space="preserve"> </w:t>
      </w:r>
      <w:r>
        <w:rPr>
          <w:rFonts w:hint="eastAsia" w:eastAsia="宋体"/>
          <w:sz w:val="22"/>
          <w:lang w:val="en-US" w:eastAsia="zh-CN"/>
        </w:rPr>
        <w:t>Ês/Iot≥-2dB</w:t>
      </w:r>
      <w:r>
        <w:rPr>
          <w:rFonts w:hint="eastAsia"/>
          <w:lang w:val="en-US" w:eastAsia="zh-CN"/>
        </w:rPr>
        <w:t>) . From my perspective, actually Tsearch contains TΔ is to search the target cell and perform the time domain synchronization. Thus, one of them shall be enhanced is fine for us. However, we shall reuse the requirements which defined in less than 5MHz in TN since we agreed TN less than 5MHz shall be used as baseline to design NTN less than 5MHz.</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numPr>
                <w:ilvl w:val="-1"/>
                <w:numId w:val="0"/>
              </w:numPr>
              <w:autoSpaceDN w:val="0"/>
              <w:spacing w:after="120" w:line="256" w:lineRule="auto"/>
              <w:ind w:left="0" w:firstLine="0"/>
              <w:jc w:val="both"/>
              <w:rPr>
                <w:color w:val="0070C0"/>
              </w:rPr>
            </w:pPr>
            <w:r>
              <w:rPr>
                <w:color w:val="0070C0"/>
              </w:rPr>
              <w:t>Agreements:</w:t>
            </w:r>
          </w:p>
          <w:p>
            <w:pPr>
              <w:widowControl w:val="0"/>
              <w:numPr>
                <w:ilvl w:val="-1"/>
                <w:numId w:val="0"/>
              </w:numPr>
              <w:autoSpaceDN w:val="0"/>
              <w:spacing w:after="120" w:line="256" w:lineRule="auto"/>
              <w:ind w:left="0" w:firstLine="0"/>
              <w:jc w:val="both"/>
              <w:rPr>
                <w:rFonts w:hint="default"/>
                <w:vertAlign w:val="baseline"/>
                <w:lang w:val="en-US" w:eastAsia="zh-CN"/>
              </w:rPr>
            </w:pPr>
            <w:r>
              <w:rPr>
                <w:rFonts w:eastAsia="等线"/>
                <w:bCs/>
                <w:kern w:val="2"/>
                <w:sz w:val="21"/>
                <w:szCs w:val="21"/>
                <w:highlight w:val="green"/>
                <w:lang w:val="en-US" w:eastAsia="zh-CN"/>
              </w:rPr>
              <w:t>RRM requirement for TN less than 5MHz shall be used as baseline to design NTN less than 5MHz requirement</w:t>
            </w:r>
          </w:p>
        </w:tc>
      </w:tr>
    </w:tbl>
    <w:p>
      <w:pPr>
        <w:rPr>
          <w:rFonts w:hint="default"/>
          <w:b/>
          <w:bCs/>
          <w:lang w:val="en-US" w:eastAsia="zh-CN"/>
        </w:rPr>
      </w:pPr>
      <w:r>
        <w:rPr>
          <w:rFonts w:hint="eastAsia"/>
          <w:b/>
          <w:bCs/>
          <w:lang w:val="en-US" w:eastAsia="zh-CN"/>
        </w:rPr>
        <w:t>Observation 5: The main difference between RACH-based and RACH-less handover is the time the UE starts transmission of the new PRACH or PUSCH. The main different component is T</w:t>
      </w:r>
      <w:r>
        <w:rPr>
          <w:rFonts w:hint="eastAsia"/>
          <w:b/>
          <w:bCs/>
          <w:vertAlign w:val="subscript"/>
          <w:lang w:val="en-US" w:eastAsia="zh-CN"/>
        </w:rPr>
        <w:t>IU</w:t>
      </w:r>
      <w:r>
        <w:rPr>
          <w:rFonts w:hint="eastAsia"/>
          <w:b/>
          <w:bCs/>
          <w:vertAlign w:val="baseline"/>
          <w:lang w:val="en-US" w:eastAsia="zh-CN"/>
        </w:rPr>
        <w:t xml:space="preserve">, and other components </w:t>
      </w:r>
      <w:r>
        <w:rPr>
          <w:rFonts w:hint="eastAsia"/>
          <w:b/>
          <w:bCs/>
          <w:lang w:val="en-US" w:eastAsia="zh-CN"/>
        </w:rPr>
        <w:t>have the same understanding without change.</w:t>
      </w:r>
    </w:p>
    <w:p>
      <w:pPr>
        <w:rPr>
          <w:rFonts w:hint="eastAsia"/>
          <w:b/>
          <w:bCs/>
          <w:lang w:val="en-US" w:eastAsia="zh-CN"/>
        </w:rPr>
      </w:pPr>
      <w:r>
        <w:rPr>
          <w:rFonts w:hint="eastAsia"/>
          <w:b/>
          <w:bCs/>
          <w:lang w:val="en-US" w:eastAsia="zh-CN"/>
        </w:rPr>
        <w:t>Observation 6: Tsearch and TΔ shall be studied without T</w:t>
      </w:r>
      <w:r>
        <w:rPr>
          <w:rFonts w:hint="eastAsia"/>
          <w:b/>
          <w:bCs/>
          <w:vertAlign w:val="subscript"/>
          <w:lang w:val="en-US" w:eastAsia="zh-CN"/>
        </w:rPr>
        <w:t>IU</w:t>
      </w:r>
      <w:r>
        <w:rPr>
          <w:rFonts w:hint="eastAsia"/>
          <w:b/>
          <w:bCs/>
          <w:lang w:val="en-US" w:eastAsia="zh-CN"/>
        </w:rPr>
        <w:t xml:space="preserve"> since they depend on the SSB index reading.</w:t>
      </w:r>
    </w:p>
    <w:p>
      <w:pPr>
        <w:rPr>
          <w:rFonts w:hint="eastAsia"/>
          <w:b/>
          <w:bCs/>
          <w:lang w:val="en-US" w:eastAsia="zh-CN"/>
        </w:rPr>
      </w:pPr>
      <w:r>
        <w:rPr>
          <w:rFonts w:hint="eastAsia"/>
          <w:b/>
          <w:bCs/>
          <w:lang w:val="en-US" w:eastAsia="zh-CN"/>
        </w:rPr>
        <w:t>Observation 7: Although Tsearch and TΔ are both impacted, only TΔ was updated and Tsearch maintains the original value under the same condition (</w:t>
      </w:r>
      <w:r>
        <w:rPr>
          <w:rFonts w:hint="eastAsia" w:eastAsia="宋体"/>
          <w:b/>
          <w:bCs/>
          <w:sz w:val="22"/>
          <w:lang w:val="en-US" w:eastAsia="zh-CN"/>
        </w:rPr>
        <w:t xml:space="preserve"> Ês/Iot≥-2dB</w:t>
      </w:r>
      <w:r>
        <w:rPr>
          <w:rFonts w:hint="eastAsia"/>
          <w:b/>
          <w:bCs/>
          <w:lang w:val="en-US" w:eastAsia="zh-CN"/>
        </w:rPr>
        <w:t xml:space="preserve">) in legacy less than 5MHz. </w:t>
      </w:r>
    </w:p>
    <w:p>
      <w:pPr>
        <w:rPr>
          <w:rFonts w:hint="eastAsia"/>
          <w:b/>
          <w:bCs/>
          <w:lang w:val="en-US" w:eastAsia="zh-CN"/>
        </w:rPr>
      </w:pPr>
      <w:r>
        <w:rPr>
          <w:rFonts w:hint="eastAsia"/>
          <w:b/>
          <w:bCs/>
          <w:lang w:val="en-US" w:eastAsia="zh-CN"/>
        </w:rPr>
        <w:t>Observation 8: RRM requirements for TN less than 5MHz shall be used as baseline to design NTN less than 5MHz.</w:t>
      </w:r>
    </w:p>
    <w:p>
      <w:pPr>
        <w:rPr>
          <w:rFonts w:hint="eastAsia"/>
          <w:b/>
          <w:bCs/>
          <w:lang w:val="en-US" w:eastAsia="zh-CN"/>
        </w:rPr>
      </w:pPr>
      <w:r>
        <w:rPr>
          <w:rFonts w:hint="eastAsia"/>
          <w:b/>
          <w:bCs/>
          <w:lang w:val="en-US" w:eastAsia="zh-CN"/>
        </w:rPr>
        <w:t>Proposal 8: RACH-based handover and RACH-less handover shall have the same enhancement.</w:t>
      </w:r>
    </w:p>
    <w:p>
      <w:pPr>
        <w:rPr>
          <w:rFonts w:hint="default"/>
          <w:b/>
          <w:bCs/>
          <w:lang w:val="en-US" w:eastAsia="zh-CN"/>
        </w:rPr>
      </w:pPr>
      <w:r>
        <w:rPr>
          <w:rFonts w:hint="eastAsia"/>
          <w:b/>
          <w:bCs/>
          <w:lang w:val="en-US" w:eastAsia="zh-CN"/>
        </w:rPr>
        <w:t>Proposal 9: Only TΔ shall be updated for NTN less than 5MHz and the concrete value is same as legacy TN less than 5MHz which is 3*Trs.</w:t>
      </w:r>
    </w:p>
    <w:p>
      <w:pPr>
        <w:pStyle w:val="6"/>
        <w:rPr>
          <w:rFonts w:hint="eastAsia"/>
          <w:sz w:val="24"/>
          <w:szCs w:val="21"/>
          <w:lang w:val="en-US" w:eastAsia="zh-CN"/>
        </w:rPr>
      </w:pPr>
      <w:r>
        <w:rPr>
          <w:rFonts w:hint="eastAsia"/>
          <w:sz w:val="24"/>
          <w:szCs w:val="21"/>
          <w:lang w:val="en-US" w:eastAsia="zh-CN"/>
        </w:rPr>
        <w:t>2.1.2.5.2 Conditional Handover</w:t>
      </w:r>
    </w:p>
    <w:p>
      <w:pPr>
        <w:rPr>
          <w:rFonts w:hint="eastAsia"/>
          <w:lang w:val="en-US" w:eastAsia="zh-CN"/>
        </w:rPr>
      </w:pPr>
      <w:r>
        <w:rPr>
          <w:rFonts w:hint="eastAsia"/>
          <w:lang w:val="en-US" w:eastAsia="zh-CN"/>
        </w:rPr>
        <w:t>We also find there is the impact on conditional handover and RAN4 shall consider studying it. Conditional handover contains two parts: Conditional handover with L3 measurement in NTN and Conditional handover without L3 measurement in NTN. We will study them respectively.</w:t>
      </w:r>
    </w:p>
    <w:p>
      <w:pPr>
        <w:rPr>
          <w:rFonts w:hint="default"/>
          <w:lang w:val="en-US" w:eastAsia="zh-CN"/>
        </w:rPr>
      </w:pPr>
      <w:r>
        <w:rPr>
          <w:rFonts w:hint="eastAsia"/>
          <w:b/>
          <w:bCs/>
          <w:i/>
          <w:iCs/>
          <w:lang w:val="en-US" w:eastAsia="zh-CN"/>
        </w:rPr>
        <w:t xml:space="preserve">Conditional handover delay with L3 measurement </w:t>
      </w:r>
    </w:p>
    <w:p>
      <w:pPr>
        <w:rPr>
          <w:rFonts w:hint="eastAsia"/>
          <w:lang w:val="en-US" w:eastAsia="zh-CN"/>
        </w:rPr>
      </w:pPr>
      <w:r>
        <w:rPr>
          <w:rFonts w:hint="eastAsia"/>
          <w:lang w:val="en-US" w:eastAsia="zh-CN"/>
        </w:rPr>
        <w:t>UE shall start RRM measurement before the time or distance condition is met. For the conditional handover delay with L3 measurement, the main handover delay is:</w:t>
      </w:r>
    </w:p>
    <w:p>
      <w:pPr>
        <w:jc w:val="center"/>
        <w:rPr>
          <w:vertAlign w:val="subscript"/>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And the definition of T</w:t>
      </w:r>
      <w:r>
        <w:rPr>
          <w:rFonts w:hint="eastAsia"/>
          <w:vertAlign w:val="subscript"/>
          <w:lang w:val="en-US" w:eastAsia="zh-CN"/>
        </w:rPr>
        <w:t>interrupt</w:t>
      </w:r>
      <w:r>
        <w:rPr>
          <w:rFonts w:hint="eastAsia"/>
          <w:vertAlign w:val="baseline"/>
          <w:lang w:val="en-US" w:eastAsia="zh-CN"/>
        </w:rPr>
        <w:t xml:space="preserve"> is:</w:t>
      </w:r>
    </w:p>
    <w:p>
      <w:pPr>
        <w:pStyle w:val="35"/>
        <w:jc w:val="center"/>
        <w:rPr>
          <w:rFonts w:hint="eastAsia"/>
          <w:vertAlign w:val="baseline"/>
          <w:lang w:val="en-US" w:eastAsia="zh-CN"/>
        </w:rPr>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pPr>
        <w:jc w:val="both"/>
        <w:rPr>
          <w:rFonts w:hint="eastAsia" w:eastAsia="宋体"/>
          <w:lang w:val="en-US" w:eastAsia="zh-CN"/>
        </w:rPr>
      </w:pPr>
      <w:r>
        <w:rPr>
          <w:rFonts w:hint="eastAsia"/>
          <w:vertAlign w:val="baseline"/>
          <w:lang w:val="en-US" w:eastAsia="zh-CN"/>
        </w:rPr>
        <w:t>Each component has the different definition and we shall focus on the parameters which will be impacted by punctured PBCH. From my perspective, only T</w:t>
      </w:r>
      <w:r>
        <w:rPr>
          <w:rFonts w:hint="eastAsia"/>
          <w:vertAlign w:val="subscript"/>
          <w:lang w:val="en-US" w:eastAsia="zh-CN"/>
        </w:rPr>
        <w:t>measure</w:t>
      </w:r>
      <w:r>
        <w:rPr>
          <w:rFonts w:hint="eastAsia"/>
          <w:vertAlign w:val="baseline"/>
          <w:lang w:val="en-US" w:eastAsia="zh-CN"/>
        </w:rPr>
        <w:t xml:space="preserve"> and T</w:t>
      </w:r>
      <w:r>
        <w:rPr>
          <w:rFonts w:hint="eastAsia"/>
          <w:vertAlign w:val="subscript"/>
          <w:lang w:val="en-US" w:eastAsia="zh-CN"/>
        </w:rPr>
        <w:t>interrupt</w:t>
      </w:r>
      <w:r>
        <w:rPr>
          <w:rFonts w:hint="eastAsia"/>
          <w:vertAlign w:val="baseline"/>
          <w:lang w:val="en-US" w:eastAsia="zh-CN"/>
        </w:rPr>
        <w:t xml:space="preserve"> will be impacted since they depend on PBCH detection. From the TS38.133, we know that the measurement time delay L3 filtering shall be less than </w:t>
      </w:r>
      <w:r>
        <w:t>T</w:t>
      </w:r>
      <w:r>
        <w:rPr>
          <w:sz w:val="13"/>
          <w:szCs w:val="13"/>
        </w:rPr>
        <w:t xml:space="preserve">identify_inter_with_index </w:t>
      </w:r>
      <w:r>
        <w:t>or T</w:t>
      </w:r>
      <w:r>
        <w:rPr>
          <w:sz w:val="13"/>
          <w:szCs w:val="13"/>
        </w:rPr>
        <w:t xml:space="preserve">identify_inter_without_index </w:t>
      </w:r>
      <w:r>
        <w:t xml:space="preserve">defined in clause </w:t>
      </w:r>
      <w:r>
        <w:rPr>
          <w:rFonts w:hint="eastAsia" w:eastAsia="宋体"/>
          <w:lang w:val="en-US" w:eastAsia="zh-CN"/>
        </w:rPr>
        <w:t>nine which is related to T</w:t>
      </w:r>
      <w:r>
        <w:rPr>
          <w:rFonts w:hint="eastAsia" w:eastAsia="宋体"/>
          <w:vertAlign w:val="subscript"/>
          <w:lang w:val="en-US" w:eastAsia="zh-CN"/>
        </w:rPr>
        <w:t>SSB time index</w:t>
      </w:r>
      <w:r>
        <w:rPr>
          <w:rFonts w:hint="eastAsia" w:eastAsia="宋体"/>
          <w:lang w:val="en-US" w:eastAsia="zh-CN"/>
        </w:rPr>
        <w:t xml:space="preserve"> and T</w:t>
      </w:r>
      <w:r>
        <w:rPr>
          <w:rFonts w:hint="eastAsia" w:eastAsia="宋体"/>
          <w:vertAlign w:val="subscript"/>
          <w:lang w:val="en-US" w:eastAsia="zh-CN"/>
        </w:rPr>
        <w:t>PSS/SSS sync</w:t>
      </w:r>
      <w:r>
        <w:rPr>
          <w:rFonts w:hint="eastAsia" w:eastAsia="宋体"/>
          <w:lang w:val="en-US" w:eastAsia="zh-CN"/>
        </w:rPr>
        <w:t>. For T</w:t>
      </w:r>
      <w:r>
        <w:rPr>
          <w:rFonts w:hint="eastAsia" w:eastAsia="宋体"/>
          <w:vertAlign w:val="subscript"/>
          <w:lang w:val="en-US" w:eastAsia="zh-CN"/>
        </w:rPr>
        <w:t>interrupt</w:t>
      </w:r>
      <w:r>
        <w:rPr>
          <w:rFonts w:hint="eastAsia" w:eastAsia="宋体"/>
          <w:lang w:val="en-US" w:eastAsia="zh-CN"/>
        </w:rPr>
        <w:t xml:space="preserve">, we have already analyzed in handover delay which depends on SSB index reading. </w:t>
      </w:r>
    </w:p>
    <w:p>
      <w:pPr>
        <w:jc w:val="both"/>
        <w:rPr>
          <w:rFonts w:hint="eastAsia" w:eastAsia="宋体"/>
          <w:vertAlign w:val="baseline"/>
          <w:lang w:val="en-US" w:eastAsia="zh-CN"/>
        </w:rPr>
      </w:pPr>
      <w:r>
        <w:rPr>
          <w:rFonts w:hint="eastAsia" w:eastAsia="宋体"/>
          <w:vertAlign w:val="baseline"/>
          <w:lang w:val="en-US" w:eastAsia="zh-CN"/>
        </w:rPr>
        <w:t>We find that the value of TΔis not changed and T</w:t>
      </w:r>
      <w:r>
        <w:rPr>
          <w:rFonts w:hint="eastAsia" w:eastAsia="宋体"/>
          <w:vertAlign w:val="subscript"/>
          <w:lang w:val="en-US" w:eastAsia="zh-CN"/>
        </w:rPr>
        <w:t>measure</w:t>
      </w:r>
      <w:r>
        <w:rPr>
          <w:rFonts w:hint="eastAsia" w:eastAsia="宋体"/>
          <w:vertAlign w:val="baseline"/>
          <w:lang w:val="en-US" w:eastAsia="zh-CN"/>
        </w:rPr>
        <w:t xml:space="preserve"> has been defined for TN less than 5MHz which refers to intra-frequency and inter-frequecny cell identification. Thus, we deem that conditional handover shall be enhanced and the T</w:t>
      </w:r>
      <w:r>
        <w:rPr>
          <w:rFonts w:hint="eastAsia" w:eastAsia="宋体"/>
          <w:vertAlign w:val="subscript"/>
          <w:lang w:val="en-US" w:eastAsia="zh-CN"/>
        </w:rPr>
        <w:t>measure</w:t>
      </w:r>
      <w:r>
        <w:rPr>
          <w:rFonts w:hint="eastAsia" w:eastAsia="宋体"/>
          <w:vertAlign w:val="baseline"/>
          <w:lang w:val="en-US" w:eastAsia="zh-CN"/>
        </w:rPr>
        <w:t xml:space="preserve"> shall be enhanced if RAN4 defines new L3 measurement requirements.</w:t>
      </w:r>
    </w:p>
    <w:p>
      <w:pPr>
        <w:jc w:val="both"/>
        <w:rPr>
          <w:rFonts w:hint="eastAsia"/>
          <w:b/>
          <w:bCs/>
          <w:vertAlign w:val="baseline"/>
          <w:lang w:val="en-US" w:eastAsia="zh-CN"/>
        </w:rPr>
      </w:pPr>
      <w:r>
        <w:rPr>
          <w:rFonts w:hint="eastAsia" w:eastAsia="宋体"/>
          <w:b/>
          <w:bCs/>
          <w:vertAlign w:val="baseline"/>
          <w:lang w:val="en-US" w:eastAsia="zh-CN"/>
        </w:rPr>
        <w:t xml:space="preserve">Observation 9: </w:t>
      </w:r>
      <w:r>
        <w:rPr>
          <w:rFonts w:hint="eastAsia"/>
          <w:b/>
          <w:bCs/>
          <w:vertAlign w:val="baseline"/>
          <w:lang w:val="en-US" w:eastAsia="zh-CN"/>
        </w:rPr>
        <w:t>T</w:t>
      </w:r>
      <w:r>
        <w:rPr>
          <w:rFonts w:hint="eastAsia"/>
          <w:b/>
          <w:bCs/>
          <w:vertAlign w:val="subscript"/>
          <w:lang w:val="en-US" w:eastAsia="zh-CN"/>
        </w:rPr>
        <w:t>measure</w:t>
      </w:r>
      <w:r>
        <w:rPr>
          <w:rFonts w:hint="eastAsia"/>
          <w:b/>
          <w:bCs/>
          <w:vertAlign w:val="baseline"/>
          <w:lang w:val="en-US" w:eastAsia="zh-CN"/>
        </w:rPr>
        <w:t xml:space="preserve"> and T</w:t>
      </w:r>
      <w:r>
        <w:rPr>
          <w:rFonts w:hint="eastAsia"/>
          <w:b/>
          <w:bCs/>
          <w:vertAlign w:val="subscript"/>
          <w:lang w:val="en-US" w:eastAsia="zh-CN"/>
        </w:rPr>
        <w:t>interrupt</w:t>
      </w:r>
      <w:r>
        <w:rPr>
          <w:rFonts w:hint="eastAsia"/>
          <w:b/>
          <w:bCs/>
          <w:vertAlign w:val="baseline"/>
          <w:lang w:val="en-US" w:eastAsia="zh-CN"/>
        </w:rPr>
        <w:t xml:space="preserve"> will be impacted since they depend on PBCH detection.</w:t>
      </w:r>
    </w:p>
    <w:p>
      <w:pPr>
        <w:jc w:val="both"/>
        <w:rPr>
          <w:rFonts w:hint="default" w:eastAsia="宋体"/>
          <w:b/>
          <w:bCs/>
          <w:vertAlign w:val="baseline"/>
          <w:lang w:val="en-US" w:eastAsia="zh-CN"/>
        </w:rPr>
      </w:pPr>
      <w:r>
        <w:rPr>
          <w:rFonts w:hint="eastAsia"/>
          <w:b/>
          <w:bCs/>
          <w:vertAlign w:val="baseline"/>
          <w:lang w:val="en-US" w:eastAsia="zh-CN"/>
        </w:rPr>
        <w:t>Observation 10: T</w:t>
      </w:r>
      <w:r>
        <w:rPr>
          <w:rFonts w:hint="eastAsia" w:eastAsia="宋体"/>
          <w:b/>
          <w:bCs/>
          <w:vertAlign w:val="baseline"/>
          <w:lang w:val="en-US" w:eastAsia="zh-CN"/>
        </w:rPr>
        <w:t>he value of TΔis not changed and T</w:t>
      </w:r>
      <w:r>
        <w:rPr>
          <w:rFonts w:hint="eastAsia" w:eastAsia="宋体"/>
          <w:b/>
          <w:bCs/>
          <w:vertAlign w:val="subscript"/>
          <w:lang w:val="en-US" w:eastAsia="zh-CN"/>
        </w:rPr>
        <w:t>measure</w:t>
      </w:r>
      <w:r>
        <w:rPr>
          <w:rFonts w:hint="eastAsia" w:eastAsia="宋体"/>
          <w:b/>
          <w:bCs/>
          <w:vertAlign w:val="baseline"/>
          <w:lang w:val="en-US" w:eastAsia="zh-CN"/>
        </w:rPr>
        <w:t xml:space="preserve"> has been defined for TN less than 5MHz which refers to L3 measurement.(Intra-frequency and Inter-frequecny cell identification)</w:t>
      </w:r>
    </w:p>
    <w:p>
      <w:pPr>
        <w:jc w:val="both"/>
        <w:rPr>
          <w:rFonts w:hint="eastAsia" w:eastAsia="宋体"/>
          <w:b/>
          <w:bCs/>
          <w:vertAlign w:val="baseline"/>
          <w:lang w:val="en-US" w:eastAsia="zh-CN"/>
        </w:rPr>
      </w:pPr>
      <w:r>
        <w:rPr>
          <w:rFonts w:hint="eastAsia" w:eastAsia="宋体"/>
          <w:b/>
          <w:bCs/>
          <w:vertAlign w:val="baseline"/>
          <w:lang w:val="en-US" w:eastAsia="zh-CN"/>
        </w:rPr>
        <w:t>Proposal 10: T</w:t>
      </w:r>
      <w:r>
        <w:rPr>
          <w:rFonts w:hint="eastAsia" w:eastAsia="宋体"/>
          <w:b/>
          <w:bCs/>
          <w:vertAlign w:val="subscript"/>
          <w:lang w:val="en-US" w:eastAsia="zh-CN"/>
        </w:rPr>
        <w:t>measure</w:t>
      </w:r>
      <w:r>
        <w:rPr>
          <w:rFonts w:hint="eastAsia" w:eastAsia="宋体"/>
          <w:b/>
          <w:bCs/>
          <w:vertAlign w:val="baseline"/>
          <w:lang w:val="en-US" w:eastAsia="zh-CN"/>
        </w:rPr>
        <w:t xml:space="preserve"> in conditional handover with L3 measurement shall be enhanced and the concrete values shall follow intra-/inter-frequency cell identification if RAN4 defines the new measurement requirements.</w:t>
      </w:r>
    </w:p>
    <w:p>
      <w:pPr>
        <w:jc w:val="both"/>
        <w:rPr>
          <w:rFonts w:hint="default" w:eastAsia="宋体"/>
          <w:b/>
          <w:bCs/>
          <w:vertAlign w:val="baseline"/>
          <w:lang w:val="en-US" w:eastAsia="zh-CN"/>
        </w:rPr>
      </w:pPr>
      <w:r>
        <w:rPr>
          <w:rFonts w:hint="eastAsia" w:eastAsia="宋体"/>
          <w:b/>
          <w:bCs/>
          <w:vertAlign w:val="baseline"/>
          <w:lang w:val="en-US" w:eastAsia="zh-CN"/>
        </w:rPr>
        <w:t>Proposal 11: TΔ shall maintain the original value and shall not be changed.</w:t>
      </w:r>
    </w:p>
    <w:p>
      <w:pPr>
        <w:rPr>
          <w:rFonts w:hint="eastAsia" w:eastAsia="宋体"/>
          <w:highlight w:val="none"/>
          <w:vertAlign w:val="baseline"/>
          <w:lang w:val="en-US" w:eastAsia="zh-CN"/>
        </w:rPr>
      </w:pPr>
      <w:r>
        <w:rPr>
          <w:rFonts w:hint="eastAsia"/>
          <w:b/>
          <w:bCs/>
          <w:i/>
          <w:iCs/>
          <w:highlight w:val="none"/>
          <w:lang w:val="en-US" w:eastAsia="zh-CN"/>
        </w:rPr>
        <w:t>Conditional handover delay without L3 measurement</w:t>
      </w:r>
      <w:r>
        <w:rPr>
          <w:rFonts w:hint="eastAsia"/>
          <w:highlight w:val="none"/>
          <w:lang w:val="en-US" w:eastAsia="zh-CN"/>
        </w:rPr>
        <w:t xml:space="preserve"> </w:t>
      </w:r>
      <w:r>
        <w:rPr>
          <w:rFonts w:hint="eastAsia"/>
          <w:b/>
          <w:bCs/>
          <w:i/>
          <w:iCs/>
          <w:highlight w:val="none"/>
          <w:lang w:val="en-US" w:eastAsia="zh-CN"/>
        </w:rPr>
        <w:t>criteria</w:t>
      </w:r>
    </w:p>
    <w:p>
      <w:pPr>
        <w:jc w:val="both"/>
        <w:rPr>
          <w:rFonts w:hint="eastAsia"/>
          <w:lang w:val="en-US" w:eastAsia="zh-CN"/>
        </w:rPr>
      </w:pPr>
      <w:r>
        <w:rPr>
          <w:rFonts w:hint="eastAsia" w:eastAsia="宋体"/>
          <w:vertAlign w:val="baseline"/>
          <w:lang w:val="en-US" w:eastAsia="zh-CN"/>
        </w:rPr>
        <w:t xml:space="preserve">UE is allowed to execute time-based and location-based conditional handover without RRM measurement once the time or distance condition is met. </w:t>
      </w:r>
      <w:r>
        <w:rPr>
          <w:rFonts w:hint="eastAsia"/>
          <w:lang w:val="en-US" w:eastAsia="zh-CN"/>
        </w:rPr>
        <w:t>For the conditional handover delay without L3 measurement, the main handover delay is:</w:t>
      </w:r>
    </w:p>
    <w:p>
      <w:pPr>
        <w:jc w:val="center"/>
        <w:rPr>
          <w:vertAlign w:val="subscript"/>
        </w:rPr>
      </w:pP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jc w:val="both"/>
        <w:rPr>
          <w:rFonts w:hint="eastAsia" w:eastAsia="宋体"/>
          <w:vertAlign w:val="baseline"/>
          <w:lang w:val="en-US" w:eastAsia="zh-CN"/>
        </w:rPr>
      </w:pPr>
      <w:r>
        <w:rPr>
          <w:rFonts w:hint="eastAsia" w:eastAsia="宋体"/>
          <w:vertAlign w:val="baseline"/>
          <w:lang w:val="en-US" w:eastAsia="zh-CN"/>
        </w:rPr>
        <w:t>Compared to conditional handover with L3 measurement, the above formulation is lack of T</w:t>
      </w:r>
      <w:r>
        <w:rPr>
          <w:rFonts w:hint="eastAsia" w:eastAsia="宋体"/>
          <w:vertAlign w:val="subscript"/>
          <w:lang w:val="en-US" w:eastAsia="zh-CN"/>
        </w:rPr>
        <w:t>measure</w:t>
      </w:r>
      <w:r>
        <w:rPr>
          <w:rFonts w:hint="eastAsia" w:eastAsia="宋体"/>
          <w:vertAlign w:val="baseline"/>
          <w:lang w:val="en-US" w:eastAsia="zh-CN"/>
        </w:rPr>
        <w:t xml:space="preserve"> and also the definition of T</w:t>
      </w:r>
      <w:r>
        <w:rPr>
          <w:rFonts w:hint="eastAsia" w:eastAsia="宋体"/>
          <w:vertAlign w:val="subscript"/>
          <w:lang w:val="en-US" w:eastAsia="zh-CN"/>
        </w:rPr>
        <w:t>interrupt</w:t>
      </w:r>
      <w:r>
        <w:rPr>
          <w:rFonts w:hint="eastAsia" w:eastAsia="宋体"/>
          <w:vertAlign w:val="baseline"/>
          <w:lang w:val="en-US" w:eastAsia="zh-CN"/>
        </w:rPr>
        <w:t xml:space="preserve"> is different as below:</w:t>
      </w:r>
    </w:p>
    <w:p>
      <w:pPr>
        <w:jc w:val="center"/>
      </w:pPr>
      <w:r>
        <w:t>T</w:t>
      </w:r>
      <w:r>
        <w:rPr>
          <w:vertAlign w:val="subscript"/>
        </w:rPr>
        <w:t>interrupt</w:t>
      </w:r>
      <w:r>
        <w:t xml:space="preserve"> = T</w:t>
      </w:r>
      <w:r>
        <w:rPr>
          <w:vertAlign w:val="subscript"/>
        </w:rPr>
        <w:t>processing</w:t>
      </w:r>
      <w:r>
        <w:t xml:space="preserve"> + T</w:t>
      </w:r>
      <w:r>
        <w:rPr>
          <w:vertAlign w:val="subscript"/>
        </w:rPr>
        <w:t>search</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pPr>
        <w:jc w:val="both"/>
        <w:rPr>
          <w:rFonts w:hint="eastAsia" w:eastAsia="宋体"/>
          <w:lang w:val="en-US" w:eastAsia="zh-CN"/>
        </w:rPr>
      </w:pPr>
      <w:r>
        <w:rPr>
          <w:rFonts w:hint="eastAsia" w:eastAsia="宋体"/>
          <w:lang w:val="en-US" w:eastAsia="zh-CN"/>
        </w:rPr>
        <w:t>Based on the ahead analysis, only T</w:t>
      </w:r>
      <w:r>
        <w:rPr>
          <w:rFonts w:hint="eastAsia" w:eastAsia="宋体"/>
          <w:vertAlign w:val="subscript"/>
          <w:lang w:val="en-US" w:eastAsia="zh-CN"/>
        </w:rPr>
        <w:t>interrupt</w:t>
      </w:r>
      <w:r>
        <w:rPr>
          <w:rFonts w:hint="eastAsia" w:eastAsia="宋体"/>
          <w:lang w:val="en-US" w:eastAsia="zh-CN"/>
        </w:rPr>
        <w:t xml:space="preserve"> will be impacted including T</w:t>
      </w:r>
      <w:r>
        <w:rPr>
          <w:rFonts w:hint="eastAsia" w:eastAsia="宋体"/>
          <w:vertAlign w:val="subscript"/>
          <w:lang w:val="en-US" w:eastAsia="zh-CN"/>
        </w:rPr>
        <w:t>search</w:t>
      </w:r>
      <w:r>
        <w:rPr>
          <w:rFonts w:hint="eastAsia" w:eastAsia="宋体"/>
          <w:lang w:val="en-US" w:eastAsia="zh-CN"/>
        </w:rPr>
        <w:t xml:space="preserve"> and TΔ. And these two parameters are same as the handover we analyzed before. However, there is no change for T</w:t>
      </w:r>
      <w:r>
        <w:rPr>
          <w:rFonts w:hint="eastAsia" w:eastAsia="宋体"/>
          <w:vertAlign w:val="subscript"/>
          <w:lang w:val="en-US" w:eastAsia="zh-CN"/>
        </w:rPr>
        <w:t>search</w:t>
      </w:r>
      <w:r>
        <w:rPr>
          <w:rFonts w:hint="eastAsia" w:eastAsia="宋体"/>
          <w:lang w:val="en-US" w:eastAsia="zh-CN"/>
        </w:rPr>
        <w:t xml:space="preserve"> and TΔsince there is no conditional handover delay without L3 measurement requirements in legacy. From my perspective, TΔ shall also be changed to 3*Trs as legacy TN less than 5MHz in handover delay. </w:t>
      </w:r>
    </w:p>
    <w:p>
      <w:pPr>
        <w:jc w:val="both"/>
        <w:rPr>
          <w:rFonts w:hint="eastAsia" w:eastAsia="宋体"/>
          <w:b/>
          <w:bCs/>
          <w:lang w:val="en-US" w:eastAsia="zh-CN"/>
        </w:rPr>
      </w:pPr>
      <w:r>
        <w:rPr>
          <w:rFonts w:hint="eastAsia" w:eastAsia="宋体"/>
          <w:b/>
          <w:bCs/>
          <w:lang w:val="en-US" w:eastAsia="zh-CN"/>
        </w:rPr>
        <w:t>Observation 11: Only T</w:t>
      </w:r>
      <w:r>
        <w:rPr>
          <w:rFonts w:hint="eastAsia" w:eastAsia="宋体"/>
          <w:b/>
          <w:bCs/>
          <w:vertAlign w:val="subscript"/>
          <w:lang w:val="en-US" w:eastAsia="zh-CN"/>
        </w:rPr>
        <w:t>interrupt</w:t>
      </w:r>
      <w:r>
        <w:rPr>
          <w:rFonts w:hint="eastAsia" w:eastAsia="宋体"/>
          <w:b/>
          <w:bCs/>
          <w:lang w:val="en-US" w:eastAsia="zh-CN"/>
        </w:rPr>
        <w:t xml:space="preserve"> will be impacted including T</w:t>
      </w:r>
      <w:r>
        <w:rPr>
          <w:rFonts w:hint="eastAsia" w:eastAsia="宋体"/>
          <w:b/>
          <w:bCs/>
          <w:vertAlign w:val="subscript"/>
          <w:lang w:val="en-US" w:eastAsia="zh-CN"/>
        </w:rPr>
        <w:t>search</w:t>
      </w:r>
      <w:r>
        <w:rPr>
          <w:rFonts w:hint="eastAsia" w:eastAsia="宋体"/>
          <w:b/>
          <w:bCs/>
          <w:lang w:val="en-US" w:eastAsia="zh-CN"/>
        </w:rPr>
        <w:t xml:space="preserve"> and TΔ.</w:t>
      </w:r>
    </w:p>
    <w:p>
      <w:pPr>
        <w:jc w:val="both"/>
        <w:rPr>
          <w:rFonts w:hint="eastAsia" w:eastAsia="宋体"/>
          <w:b/>
          <w:bCs/>
          <w:lang w:val="en-US" w:eastAsia="zh-CN"/>
        </w:rPr>
      </w:pPr>
      <w:r>
        <w:rPr>
          <w:rFonts w:hint="eastAsia" w:eastAsia="宋体"/>
          <w:b/>
          <w:bCs/>
          <w:lang w:val="en-US" w:eastAsia="zh-CN"/>
        </w:rPr>
        <w:t>Observation 12: There is no change for T</w:t>
      </w:r>
      <w:r>
        <w:rPr>
          <w:rFonts w:hint="eastAsia" w:eastAsia="宋体"/>
          <w:b/>
          <w:bCs/>
          <w:vertAlign w:val="subscript"/>
          <w:lang w:val="en-US" w:eastAsia="zh-CN"/>
        </w:rPr>
        <w:t>search</w:t>
      </w:r>
      <w:r>
        <w:rPr>
          <w:rFonts w:hint="eastAsia" w:eastAsia="宋体"/>
          <w:b/>
          <w:bCs/>
          <w:lang w:val="en-US" w:eastAsia="zh-CN"/>
        </w:rPr>
        <w:t xml:space="preserve"> and TΔsince there is no conditional handover delay without L3 measurement requirements in legacy.</w:t>
      </w:r>
    </w:p>
    <w:p>
      <w:pPr>
        <w:jc w:val="both"/>
        <w:rPr>
          <w:rFonts w:hint="default" w:eastAsia="宋体"/>
          <w:b/>
          <w:bCs/>
          <w:vertAlign w:val="baseline"/>
          <w:lang w:val="en-US" w:eastAsia="zh-CN"/>
        </w:rPr>
      </w:pPr>
      <w:r>
        <w:rPr>
          <w:rFonts w:hint="eastAsia" w:eastAsia="宋体"/>
          <w:b/>
          <w:bCs/>
          <w:lang w:val="en-US" w:eastAsia="zh-CN"/>
        </w:rPr>
        <w:t>Proposal 12: For NTN less than 5MHz, TΔ shall also be changed to 3*Trs as legacy TN less than 5MHz in handover delay.</w:t>
      </w:r>
    </w:p>
    <w:p>
      <w:pPr>
        <w:pStyle w:val="6"/>
        <w:rPr>
          <w:rFonts w:hint="eastAsia"/>
          <w:sz w:val="24"/>
          <w:szCs w:val="21"/>
          <w:highlight w:val="none"/>
          <w:lang w:val="en-US" w:eastAsia="zh-CN"/>
        </w:rPr>
      </w:pPr>
      <w:r>
        <w:rPr>
          <w:rFonts w:hint="eastAsia"/>
          <w:sz w:val="24"/>
          <w:szCs w:val="21"/>
          <w:highlight w:val="none"/>
          <w:lang w:val="en-US" w:eastAsia="zh-CN"/>
        </w:rPr>
        <w:t>2.1.2.5.3 Satellite switch</w:t>
      </w:r>
    </w:p>
    <w:p>
      <w:pPr>
        <w:rPr>
          <w:rFonts w:hint="eastAsia"/>
          <w:lang w:val="en-US" w:eastAsia="zh-CN"/>
        </w:rPr>
      </w:pPr>
      <w:r>
        <w:rPr>
          <w:rFonts w:hint="eastAsia"/>
          <w:lang w:val="en-US" w:eastAsia="zh-CN"/>
        </w:rPr>
        <w:t xml:space="preserve">For satellite switch, this is NTN specific requirements and we have hard satellite switch and soft satellite switch.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w:t>
            </w:r>
            <w:r>
              <w:rPr>
                <w:highlight w:val="yellow"/>
              </w:rPr>
              <w:t xml:space="preserve"> same SSB frequency and same gNB</w:t>
            </w:r>
            <w:r>
              <w:t xml:space="preserve"> without PCI changing. The requirements in this clause are applicable to SA NR</w:t>
            </w:r>
            <w:r>
              <w:rPr>
                <w:rFonts w:hint="eastAsia"/>
                <w:lang w:eastAsia="zh-CN"/>
              </w:rPr>
              <w:t xml:space="preserve"> SAN</w:t>
            </w:r>
            <w:r>
              <w:t>.</w:t>
            </w:r>
          </w:p>
          <w:p>
            <w:pPr>
              <w:rPr>
                <w:rFonts w:hint="eastAsia"/>
                <w:vertAlign w:val="baseline"/>
                <w:lang w:val="en-US" w:eastAsia="zh-CN"/>
              </w:rPr>
            </w:pPr>
            <w:r>
              <w:t xml:space="preserve">The requirements in this clause are applicable to both hard and soft switch over in </w:t>
            </w:r>
            <w:r>
              <w:rPr>
                <w:b/>
                <w:bCs/>
                <w:highlight w:val="yellow"/>
                <w:lang w:eastAsia="zh-CN"/>
              </w:rPr>
              <w:t>quasi-earth fixed scenario</w:t>
            </w:r>
            <w:r>
              <w:rPr>
                <w:highlight w:val="yellow"/>
              </w:rPr>
              <w:t xml:space="preserve"> from NR</w:t>
            </w:r>
            <w:r>
              <w:rPr>
                <w:rFonts w:hint="eastAsia"/>
                <w:highlight w:val="yellow"/>
                <w:lang w:eastAsia="zh-CN"/>
              </w:rPr>
              <w:t xml:space="preserve"> SAN</w:t>
            </w:r>
            <w:r>
              <w:rPr>
                <w:highlight w:val="yellow"/>
              </w:rPr>
              <w:t xml:space="preserve"> FR1 cell to NR</w:t>
            </w:r>
            <w:r>
              <w:rPr>
                <w:rFonts w:hint="eastAsia"/>
                <w:highlight w:val="yellow"/>
                <w:lang w:eastAsia="zh-CN"/>
              </w:rPr>
              <w:t xml:space="preserve"> SAN</w:t>
            </w:r>
            <w:r>
              <w:rPr>
                <w:highlight w:val="yellow"/>
              </w:rPr>
              <w:t xml:space="preserve"> FR1 cell</w:t>
            </w:r>
            <w:r>
              <w:t>.</w:t>
            </w:r>
          </w:p>
        </w:tc>
      </w:tr>
    </w:tbl>
    <w:p>
      <w:pPr>
        <w:rPr>
          <w:rFonts w:hint="eastAsia"/>
          <w:lang w:val="en-US" w:eastAsia="zh-CN"/>
        </w:rPr>
      </w:pPr>
      <w:r>
        <w:rPr>
          <w:rFonts w:hint="eastAsia"/>
          <w:lang w:val="en-US" w:eastAsia="zh-CN"/>
        </w:rPr>
        <w:t xml:space="preserve">For hard satellite switch, when the UE switches from the current serving satellite to a new satellite, it first disconnects from the original satellite before establishing a connection with the new one. </w:t>
      </w:r>
    </w:p>
    <w:p>
      <w:pPr>
        <w:rPr>
          <w:rFonts w:hint="default"/>
          <w:lang w:val="en-US" w:eastAsia="zh-CN"/>
        </w:rPr>
      </w:pPr>
      <w:r>
        <w:rPr>
          <w:rFonts w:hint="eastAsia"/>
          <w:lang w:val="en-US" w:eastAsia="zh-CN"/>
        </w:rPr>
        <w:t>For soft satellite switch, it allows the UE to maintain connections with multiple satellites simultaneously. During the handover process, the UE first establishes a communication link with the target satellite and only disconnects from the original satellite after ensuring the new connection is stable.</w:t>
      </w:r>
    </w:p>
    <w:p>
      <w:pPr>
        <w:rPr>
          <w:rFonts w:hint="default"/>
          <w:lang w:val="en-US" w:eastAsia="zh-CN"/>
        </w:rPr>
      </w:pPr>
      <w:r>
        <w:rPr>
          <w:rFonts w:hint="eastAsia"/>
          <w:lang w:val="en-US" w:eastAsia="zh-CN"/>
        </w:rPr>
        <w:t>For different cases, the satellite switch delay is different.In this section, We will study both of them respectively.</w:t>
      </w:r>
    </w:p>
    <w:p>
      <w:pPr>
        <w:rPr>
          <w:rFonts w:hint="default"/>
          <w:b/>
          <w:bCs/>
          <w:i/>
          <w:iCs/>
          <w:lang w:val="en-US" w:eastAsia="zh-CN"/>
        </w:rPr>
      </w:pPr>
      <w:r>
        <w:rPr>
          <w:rFonts w:hint="eastAsia"/>
          <w:b/>
          <w:bCs/>
          <w:i/>
          <w:iCs/>
          <w:lang w:val="en-US" w:eastAsia="zh-CN"/>
        </w:rPr>
        <w:t>Hard satellite switch delay</w:t>
      </w:r>
    </w:p>
    <w:p>
      <w:pPr>
        <w:rPr>
          <w:rFonts w:hint="eastAsia"/>
          <w:lang w:val="en-US" w:eastAsia="zh-CN"/>
        </w:rPr>
      </w:pPr>
      <w:r>
        <w:rPr>
          <w:rFonts w:hint="eastAsia"/>
          <w:lang w:val="en-US" w:eastAsia="zh-CN"/>
        </w:rPr>
        <w:t>For hard satellite switch delay, the main delay can be seen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46500" cy="1722120"/>
            <wp:effectExtent l="0" t="0" r="254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746500" cy="17221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Figure</w:t>
      </w:r>
      <w:r>
        <w:rPr>
          <w:rFonts w:hint="eastAsia" w:cs="Times New Roman"/>
          <w:kern w:val="0"/>
          <w:sz w:val="20"/>
          <w:szCs w:val="20"/>
          <w:lang w:val="en-US" w:eastAsia="zh-CN" w:bidi="ar"/>
        </w:rPr>
        <w:t>1  Hard satellite switch delay</w:t>
      </w:r>
    </w:p>
    <w:p>
      <w:pPr>
        <w:rPr>
          <w:rFonts w:cs="v4.2.0"/>
          <w:position w:val="-6"/>
        </w:rPr>
      </w:pPr>
      <w:r>
        <w:rPr>
          <w:rFonts w:hint="eastAsia" w:eastAsia="宋体" w:cs="v4.2.0"/>
          <w:lang w:val="en-US" w:eastAsia="zh-CN"/>
        </w:rPr>
        <w:t>T</w:t>
      </w:r>
      <w:r>
        <w:rPr>
          <w:rFonts w:cs="v4.2.0"/>
        </w:rPr>
        <w:t>he interruption time shall be less than T</w:t>
      </w:r>
      <w:r>
        <w:rPr>
          <w:rFonts w:cs="v4.2.0"/>
          <w:vertAlign w:val="subscript"/>
        </w:rPr>
        <w:t>interrupt</w:t>
      </w:r>
    </w:p>
    <w:p>
      <w:pPr>
        <w:keepNext w:val="0"/>
        <w:keepLines w:val="0"/>
        <w:widowControl/>
        <w:suppressLineNumbers w:val="0"/>
        <w:jc w:val="center"/>
        <w:rPr>
          <w:rFonts w:hint="default" w:ascii="Times New Roman" w:hAnsi="Times New Roman" w:eastAsia="Times New Roman" w:cs="Times New Roman"/>
          <w:kern w:val="0"/>
          <w:sz w:val="20"/>
          <w:szCs w:val="20"/>
          <w:lang w:val="en-US" w:eastAsia="zh-CN" w:bidi="ar"/>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hint="eastAsia"/>
          <w:lang w:val="en-US" w:eastAsia="zh-CN"/>
        </w:rPr>
      </w:pPr>
      <w:r>
        <w:rPr>
          <w:rFonts w:hint="eastAsia"/>
          <w:lang w:val="en-US" w:eastAsia="zh-CN"/>
        </w:rPr>
        <w:t>We know that the interruption time is the time between t-service and the time the UE starts transmission of the new PRACH. When PBCH is punctured, the Tsearch and TΔ may be impacted, and TΔ shall be extended to 3*Trs which is the same as the handover.</w:t>
      </w:r>
    </w:p>
    <w:p>
      <w:pPr>
        <w:rPr>
          <w:rFonts w:hint="eastAsia"/>
          <w:b/>
          <w:bCs/>
          <w:lang w:val="en-US" w:eastAsia="zh-CN"/>
        </w:rPr>
      </w:pPr>
      <w:r>
        <w:rPr>
          <w:rFonts w:hint="eastAsia"/>
          <w:b/>
          <w:bCs/>
          <w:lang w:val="en-US" w:eastAsia="zh-CN"/>
        </w:rPr>
        <w:t>Observation 13: For hard satellite switch delay, T</w:t>
      </w:r>
      <w:r>
        <w:rPr>
          <w:rFonts w:hint="eastAsia"/>
          <w:b/>
          <w:bCs/>
          <w:vertAlign w:val="subscript"/>
          <w:lang w:val="en-US" w:eastAsia="zh-CN"/>
        </w:rPr>
        <w:t>search</w:t>
      </w:r>
      <w:r>
        <w:rPr>
          <w:rFonts w:hint="eastAsia"/>
          <w:b/>
          <w:bCs/>
          <w:lang w:val="en-US" w:eastAsia="zh-CN"/>
        </w:rPr>
        <w:t xml:space="preserve"> and TΔ may be impacted.</w:t>
      </w:r>
    </w:p>
    <w:p>
      <w:pPr>
        <w:rPr>
          <w:rFonts w:hint="default"/>
          <w:b/>
          <w:bCs/>
          <w:lang w:val="en-US" w:eastAsia="zh-CN"/>
        </w:rPr>
      </w:pPr>
      <w:r>
        <w:rPr>
          <w:rFonts w:hint="eastAsia"/>
          <w:b/>
          <w:bCs/>
          <w:lang w:val="en-US" w:eastAsia="zh-CN"/>
        </w:rPr>
        <w:t>Proposal 13: TΔ shall be extended to 3*Trs which is the same as the handover.</w:t>
      </w:r>
    </w:p>
    <w:p>
      <w:pPr>
        <w:rPr>
          <w:rFonts w:hint="default"/>
          <w:b/>
          <w:bCs/>
          <w:i/>
          <w:iCs/>
          <w:lang w:val="en-US" w:eastAsia="zh-CN"/>
        </w:rPr>
      </w:pPr>
      <w:r>
        <w:rPr>
          <w:rFonts w:hint="eastAsia"/>
          <w:b/>
          <w:bCs/>
          <w:i/>
          <w:iCs/>
          <w:lang w:val="en-US" w:eastAsia="zh-CN"/>
        </w:rPr>
        <w:t>Soft satellite switch delay</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sz w:val="22"/>
          <w:lang w:val="en-US" w:eastAsia="zh-CN"/>
        </w:rPr>
        <w:t xml:space="preserve"> </w:t>
      </w:r>
      <w:r>
        <w:rPr>
          <w:rFonts w:hint="eastAsia"/>
          <w:lang w:val="en-US" w:eastAsia="zh-CN"/>
        </w:rPr>
        <w:t>For soft satellite switch delay, the main delay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64635" cy="3879850"/>
            <wp:effectExtent l="0" t="0" r="444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4064635" cy="3879850"/>
                    </a:xfrm>
                    <a:prstGeom prst="rect">
                      <a:avLst/>
                    </a:prstGeom>
                    <a:noFill/>
                    <a:ln w="9525">
                      <a:noFill/>
                    </a:ln>
                  </pic:spPr>
                </pic:pic>
              </a:graphicData>
            </a:graphic>
          </wp:inline>
        </w:drawing>
      </w:r>
    </w:p>
    <w:p>
      <w:pPr>
        <w:jc w:val="center"/>
        <w:rPr>
          <w:rFonts w:hint="default" w:eastAsia="宋体" w:cs="v4.2.0"/>
          <w:lang w:val="en-US" w:eastAsia="zh-CN"/>
        </w:rPr>
      </w:pPr>
      <w:r>
        <w:rPr>
          <w:rFonts w:hint="eastAsia" w:eastAsia="宋体" w:cs="v4.2.0"/>
          <w:lang w:val="en-US" w:eastAsia="zh-CN"/>
        </w:rPr>
        <w:t>Figure 2 Soft satellite switch delay</w:t>
      </w:r>
    </w:p>
    <w:p>
      <w:pPr>
        <w:rPr>
          <w:rFonts w:cs="v4.2.0"/>
          <w:position w:val="-6"/>
        </w:rPr>
      </w:pPr>
      <w:r>
        <w:rPr>
          <w:rFonts w:hint="eastAsia" w:eastAsia="宋体" w:cs="v4.2.0"/>
          <w:lang w:val="en-US" w:eastAsia="zh-CN"/>
        </w:rPr>
        <w:t>T</w:t>
      </w:r>
      <w:r>
        <w:rPr>
          <w:rFonts w:cs="v4.2.0"/>
        </w:rPr>
        <w:t xml:space="preserve">he </w:t>
      </w:r>
      <w:r>
        <w:rPr>
          <w:rFonts w:hint="eastAsia" w:eastAsia="宋体" w:cs="v4.2.0"/>
          <w:lang w:val="en-US" w:eastAsia="zh-CN"/>
        </w:rPr>
        <w:t xml:space="preserve">soft </w:t>
      </w:r>
      <w:r>
        <w:rPr>
          <w:rFonts w:cs="v4.2.0"/>
        </w:rPr>
        <w:t>satellite switch time shall be less than T</w:t>
      </w:r>
      <w:r>
        <w:rPr>
          <w:rFonts w:cs="v4.2.0"/>
          <w:vertAlign w:val="subscript"/>
        </w:rPr>
        <w:t>soft</w:t>
      </w:r>
      <w:r>
        <w:rPr>
          <w:rFonts w:hint="eastAsia" w:cs="v4.2.0"/>
          <w:vertAlign w:val="subscript"/>
          <w:lang w:eastAsia="zh-CN"/>
        </w:rPr>
        <w:t>_</w:t>
      </w:r>
      <w:r>
        <w:rPr>
          <w:rFonts w:cs="v4.2.0"/>
          <w:vertAlign w:val="subscript"/>
          <w:lang w:eastAsia="zh-CN"/>
        </w:rPr>
        <w:t>switch</w:t>
      </w:r>
    </w:p>
    <w:p>
      <w:pPr>
        <w:keepLines/>
        <w:tabs>
          <w:tab w:val="center" w:pos="4536"/>
          <w:tab w:val="right" w:pos="9072"/>
        </w:tabs>
      </w:pPr>
      <w:r>
        <w:tab/>
      </w: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t>ms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sz w:val="22"/>
          <w:lang w:val="en-US" w:eastAsia="zh-CN"/>
        </w:rPr>
        <w:t xml:space="preserve">We know that the soft satellite switch delay includes two parts: Sync to target satellite and the interruption. For the first part, it includes full or partial </w:t>
      </w:r>
      <w:r>
        <w:t>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vertAlign w:val="subscript"/>
          <w:lang w:val="en-US" w:eastAsia="zh-CN"/>
        </w:rPr>
        <w:t xml:space="preserve"> </w:t>
      </w:r>
      <w:r>
        <w:rPr>
          <w:rFonts w:hint="eastAsia" w:eastAsia="宋体"/>
          <w:sz w:val="22"/>
          <w:lang w:val="en-US" w:eastAsia="zh-CN"/>
        </w:rPr>
        <w:t xml:space="preserve">or t-service-t-serviceStart. The t-service-t-serviceStart is up to network configuration which is not impacted by punctured PBCH which is the service time window. For </w:t>
      </w:r>
      <w:r>
        <w:t>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eastAsia="宋体"/>
          <w:sz w:val="22"/>
          <w:lang w:val="en-US" w:eastAsia="zh-CN"/>
        </w:rPr>
        <w:t xml:space="preserve">, if the delay of </w:t>
      </w:r>
      <w:r>
        <w:t>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vertAlign w:val="subscript"/>
          <w:lang w:val="en-US" w:eastAsia="zh-CN"/>
        </w:rPr>
        <w:t xml:space="preserve"> </w:t>
      </w:r>
      <w:r>
        <w:rPr>
          <w:rFonts w:hint="eastAsia" w:eastAsia="宋体"/>
          <w:sz w:val="22"/>
          <w:lang w:val="en-US" w:eastAsia="zh-CN"/>
        </w:rPr>
        <w:t xml:space="preserve"> is larger than t-service-t-serviceStart, the interruption will also contain partial </w:t>
      </w:r>
      <w:r>
        <w:t>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vertAlign w:val="subscript"/>
          <w:lang w:val="en-US" w:eastAsia="zh-CN"/>
        </w:rPr>
        <w:t xml:space="preserve"> </w:t>
      </w:r>
      <w:r>
        <w:rPr>
          <w:rFonts w:hint="eastAsia" w:eastAsia="宋体"/>
          <w:sz w:val="22"/>
          <w:lang w:val="en-US" w:eastAsia="zh-CN"/>
        </w:rPr>
        <w:t xml:space="preserve"> and the soft satellite switch delay will be much longer than the case which the delay of </w:t>
      </w:r>
      <w:r>
        <w:t>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vertAlign w:val="subscript"/>
          <w:lang w:val="en-US" w:eastAsia="zh-CN"/>
        </w:rPr>
        <w:t xml:space="preserve"> </w:t>
      </w:r>
      <w:r>
        <w:rPr>
          <w:rFonts w:hint="eastAsia" w:eastAsia="宋体"/>
          <w:sz w:val="22"/>
          <w:lang w:val="en-US" w:eastAsia="zh-CN"/>
        </w:rPr>
        <w:t xml:space="preserve"> is smaller than t-service-t-serviceStart. Thus, we deem that the soft satellite switch delay depends on the sync time. As the mentioned above, </w:t>
      </w:r>
      <w:r>
        <w:t>T</w:t>
      </w:r>
      <w:r>
        <w:rPr>
          <w:vertAlign w:val="subscript"/>
        </w:rPr>
        <w:t>search</w:t>
      </w:r>
      <w:r>
        <w:t xml:space="preserve"> </w:t>
      </w:r>
      <w:r>
        <w:rPr>
          <w:lang w:eastAsia="zh-CN"/>
        </w:rPr>
        <w:t>+ T</w:t>
      </w:r>
      <w:r>
        <w:rPr>
          <w:vertAlign w:val="subscript"/>
          <w:lang w:eastAsia="zh-CN"/>
        </w:rPr>
        <w:t>∆</w:t>
      </w:r>
      <w:r>
        <w:rPr>
          <w:lang w:eastAsia="zh-CN"/>
        </w:rPr>
        <w:t xml:space="preserve"> </w:t>
      </w:r>
      <w:r>
        <w:rPr>
          <w:rFonts w:hint="eastAsia"/>
          <w:lang w:val="en-US" w:eastAsia="zh-CN"/>
        </w:rPr>
        <w:t>will be impacted by punctured PBCH, and TΔ  will be extended to 3*Trs.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b/>
          <w:bCs/>
          <w:sz w:val="22"/>
          <w:lang w:val="en-US" w:eastAsia="zh-CN"/>
        </w:rPr>
      </w:pPr>
      <w:r>
        <w:rPr>
          <w:rFonts w:hint="eastAsia"/>
          <w:b/>
          <w:bCs/>
          <w:lang w:val="en-US" w:eastAsia="zh-CN"/>
        </w:rPr>
        <w:t>Observation 14:  T</w:t>
      </w:r>
      <w:r>
        <w:rPr>
          <w:rFonts w:hint="eastAsia" w:eastAsia="宋体"/>
          <w:b/>
          <w:bCs/>
          <w:sz w:val="22"/>
          <w:lang w:val="en-US" w:eastAsia="zh-CN"/>
        </w:rPr>
        <w:t>he soft satellite switch delay includes two parts: Sync to target satellite and the interruption.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lang w:val="en-US" w:eastAsia="zh-CN"/>
        </w:rPr>
      </w:pPr>
      <w:r>
        <w:rPr>
          <w:rFonts w:hint="eastAsia" w:eastAsia="宋体"/>
          <w:b/>
          <w:bCs/>
          <w:sz w:val="22"/>
          <w:lang w:val="en-US" w:eastAsia="zh-CN"/>
        </w:rPr>
        <w:t xml:space="preserve">Proposal 14: </w:t>
      </w:r>
      <w:r>
        <w:rPr>
          <w:b/>
          <w:bCs/>
        </w:rPr>
        <w:t>T</w:t>
      </w:r>
      <w:r>
        <w:rPr>
          <w:b/>
          <w:bCs/>
          <w:vertAlign w:val="subscript"/>
        </w:rPr>
        <w:t>search</w:t>
      </w:r>
      <w:r>
        <w:rPr>
          <w:b/>
          <w:bCs/>
        </w:rPr>
        <w:t xml:space="preserve"> </w:t>
      </w:r>
      <w:r>
        <w:rPr>
          <w:b/>
          <w:bCs/>
          <w:lang w:eastAsia="zh-CN"/>
        </w:rPr>
        <w:t>+ T</w:t>
      </w:r>
      <w:r>
        <w:rPr>
          <w:b/>
          <w:bCs/>
          <w:vertAlign w:val="subscript"/>
          <w:lang w:eastAsia="zh-CN"/>
        </w:rPr>
        <w:t>∆</w:t>
      </w:r>
      <w:r>
        <w:rPr>
          <w:b/>
          <w:bCs/>
          <w:lang w:eastAsia="zh-CN"/>
        </w:rPr>
        <w:t xml:space="preserve"> </w:t>
      </w:r>
      <w:r>
        <w:rPr>
          <w:rFonts w:hint="eastAsia"/>
          <w:b/>
          <w:bCs/>
          <w:lang w:val="en-US" w:eastAsia="zh-CN"/>
        </w:rPr>
        <w:t>will be impacted by punctured PBCH, and TΔ  will be extended to 3*Trs.</w:t>
      </w:r>
    </w:p>
    <w:p>
      <w:pPr>
        <w:pStyle w:val="5"/>
        <w:rPr>
          <w:rFonts w:hint="eastAsia" w:eastAsia="宋体"/>
          <w:sz w:val="28"/>
          <w:szCs w:val="28"/>
          <w:lang w:val="en-US" w:eastAsia="zh-CN"/>
        </w:rPr>
      </w:pPr>
      <w:r>
        <w:rPr>
          <w:rFonts w:hint="eastAsia" w:eastAsia="Times New Roman"/>
          <w:sz w:val="24"/>
          <w:szCs w:val="20"/>
          <w:lang w:val="en-US" w:eastAsia="zh-CN"/>
        </w:rPr>
        <w:t xml:space="preserve">2.1.2.6 </w:t>
      </w:r>
      <w:r>
        <w:rPr>
          <w:rFonts w:hint="eastAsia"/>
          <w:sz w:val="24"/>
          <w:szCs w:val="20"/>
          <w:lang w:val="en-US" w:eastAsia="zh-CN"/>
        </w:rPr>
        <w:t xml:space="preserve"> </w:t>
      </w:r>
      <w:r>
        <w:rPr>
          <w:rFonts w:hint="eastAsia" w:eastAsia="Times New Roman"/>
          <w:sz w:val="24"/>
          <w:szCs w:val="20"/>
          <w:lang w:val="en-US" w:eastAsia="zh-CN"/>
        </w:rPr>
        <w:t>L3 measurement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lang w:val="en-US" w:eastAsia="zh-CN"/>
        </w:rPr>
      </w:pPr>
      <w:r>
        <w:rPr>
          <w:rFonts w:hint="eastAsia" w:eastAsia="宋体"/>
          <w:sz w:val="22"/>
          <w:lang w:val="en-US" w:eastAsia="zh-CN"/>
        </w:rPr>
        <w:t>For the measurement requirements for both intra-frequency and inter-frequency, the main factors to be impacted is the cell and SSB index detection since it depends on the PBCH detection directly. Hence, we shall also focus on this aspect also. Compared to legacy SSB with 20PRBs, the 12PRBs SSB can guarantee the transmission of PSS/SSS but part of PRBs of PBCH are punched. Thus, the new measurement requirements for less than 5MHz have been defined such as cell identification etc. We also can see the following agreements defined in less than 5MHz WI:</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highlight w:val="green"/>
                <w:lang w:eastAsia="zh-CN"/>
              </w:rPr>
            </w:pPr>
            <w:r>
              <w:rPr>
                <w:b/>
                <w:highlight w:val="green"/>
                <w:lang w:eastAsia="zh-CN"/>
              </w:rPr>
              <w:t>Agreement</w:t>
            </w:r>
            <w:r>
              <w:rPr>
                <w:highlight w:val="green"/>
                <w:lang w:eastAsia="zh-CN"/>
              </w:rPr>
              <w:t>:</w:t>
            </w:r>
          </w:p>
          <w:p>
            <w:pPr>
              <w:numPr>
                <w:ilvl w:val="0"/>
                <w:numId w:val="6"/>
              </w:numPr>
              <w:rPr>
                <w:lang w:val="en-US" w:eastAsia="ja-JP"/>
              </w:rPr>
            </w:pPr>
            <w:r>
              <w:rPr>
                <w:lang w:val="en-US" w:eastAsia="ja-JP"/>
              </w:rPr>
              <w:t>SSB index identification delay</w:t>
            </w:r>
          </w:p>
          <w:p>
            <w:pPr>
              <w:numPr>
                <w:ilvl w:val="1"/>
                <w:numId w:val="6"/>
              </w:numPr>
              <w:rPr>
                <w:lang w:val="en-US" w:eastAsia="ja-JP"/>
              </w:rPr>
            </w:pPr>
            <w:r>
              <w:rPr>
                <w:lang w:val="en-US" w:eastAsia="ja-JP"/>
              </w:rPr>
              <w:t>Unknown intra-frequency cell (Es/Iot≥-6 dB): [3+4] samples</w:t>
            </w:r>
          </w:p>
          <w:p>
            <w:pPr>
              <w:numPr>
                <w:ilvl w:val="1"/>
                <w:numId w:val="6"/>
              </w:numPr>
              <w:rPr>
                <w:rFonts w:hint="default" w:eastAsia="宋体"/>
                <w:sz w:val="22"/>
                <w:vertAlign w:val="baseline"/>
                <w:lang w:val="en-US" w:eastAsia="zh-CN"/>
              </w:rPr>
            </w:pPr>
            <w:r>
              <w:rPr>
                <w:lang w:val="en-US" w:eastAsia="ja-JP"/>
              </w:rPr>
              <w:t>Unknown inter-frequency cell (Es/Iot≥-4 dB): [3+3] samples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lang w:val="en-US" w:eastAsia="zh-CN"/>
        </w:rPr>
        <w:t xml:space="preserve">For unknown cell, we find that the measurement samples were increased based on 12PRBs SSB in order to  </w:t>
      </w:r>
      <w:r>
        <w:rPr>
          <w:rFonts w:hint="eastAsia" w:eastAsia="宋体"/>
          <w:sz w:val="22"/>
          <w:highlight w:val="none"/>
          <w:lang w:val="en-US" w:eastAsia="zh-CN"/>
        </w:rPr>
        <w:t>compensate the impact of puncturing for unknown cell searching, and the relevant requirements have been captured in the existing TS38.133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TN time index detection requirements:</w:t>
            </w:r>
          </w:p>
          <w:p>
            <w:pPr>
              <w:pStyle w:val="53"/>
            </w:pPr>
            <w:r>
              <w:t>Table 9.2.5.1-3: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p>
                  <w:pPr>
                    <w:pStyle w:val="58"/>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pPr>
                    <w:pStyle w:val="58"/>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pPr>
                    <w:pStyle w:val="58"/>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eastAsia="宋体"/>
                <w:sz w:val="22"/>
                <w:highlight w:val="none"/>
                <w:vertAlign w:val="baseline"/>
                <w:lang w:val="en-US" w:eastAsia="zh-CN"/>
              </w:rPr>
            </w:pPr>
            <w:r>
              <w:rPr>
                <w:rFonts w:hint="eastAsia" w:eastAsia="宋体"/>
                <w:sz w:val="22"/>
                <w:highlight w:val="none"/>
                <w:vertAlign w:val="baseline"/>
                <w:lang w:val="en-US" w:eastAsia="zh-CN"/>
              </w:rPr>
              <w:t>Legacy TN less than 5MHz time index detection requirements:</w:t>
            </w:r>
          </w:p>
          <w:p>
            <w:pPr>
              <w:pStyle w:val="53"/>
              <w:rPr>
                <w:rFonts w:eastAsia="宋体"/>
              </w:rPr>
            </w:pPr>
            <w:r>
              <w:rPr>
                <w:highlight w:val="none"/>
              </w:rPr>
              <w:t>Table 9.2.5.1-</w:t>
            </w:r>
            <w:r>
              <w:rPr>
                <w:highlight w:val="none"/>
                <w:lang w:val="en-US" w:eastAsia="zh-CN"/>
              </w:rPr>
              <w:t>23</w:t>
            </w:r>
            <w:r>
              <w:rPr>
                <w:rFonts w:eastAsia="宋体"/>
                <w:highlight w:val="none"/>
              </w:rPr>
              <w:t xml:space="preserve">: Time period for time index detection for a UE operating on a target cell with 12 PRB </w:t>
            </w:r>
            <w:r>
              <w:rPr>
                <w:rFonts w:eastAsia="宋体"/>
              </w:rPr>
              <w:t xml:space="preserve">SSB (Frequency range FR1)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yellow"/>
                    </w:rPr>
                    <w:t xml:space="preserve">7 </w:t>
                  </w:r>
                  <w:r>
                    <w:rPr>
                      <w:rFonts w:eastAsia="宋体"/>
                    </w:rPr>
                    <w:t>x max(MGRP, SMTC period))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max(120ms, ceil(1.5 x 7) x 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7 x max(MGRP,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宋体"/>
                    </w:rPr>
                  </w:pPr>
                  <w:r>
                    <w:t>NOTE 1:</w:t>
                  </w:r>
                  <w:r>
                    <w:tab/>
                  </w:r>
                  <w:r>
                    <w:t xml:space="preserve">FFS </w:t>
                  </w:r>
                  <w:r>
                    <w:rPr>
                      <w:rFonts w:hint="eastAsia"/>
                    </w:rPr>
                    <w:t>When</w:t>
                  </w:r>
                  <w:r>
                    <w:t xml:space="preserve"> </w:t>
                  </w:r>
                  <w:r>
                    <w:rPr>
                      <w:rFonts w:eastAsia="Malgun Gothic"/>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r>
              <w:rPr>
                <w:rFonts w:hint="eastAsia" w:eastAsia="宋体"/>
                <w:sz w:val="22"/>
                <w:highlight w:val="none"/>
                <w:vertAlign w:val="baseline"/>
                <w:lang w:val="en-US" w:eastAsia="zh-CN"/>
              </w:rPr>
              <w:t>Legacy NTN time index detection requirements:</w:t>
            </w:r>
          </w:p>
          <w:p>
            <w:pPr>
              <w:pStyle w:val="53"/>
            </w:pPr>
            <w:r>
              <w:t>Table 9.2C.5.1-2: Time period for time index detection (FR1)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4"/>
                  </w:pPr>
                  <w:r>
                    <w:t>DRX cycle</w:t>
                  </w:r>
                </w:p>
              </w:tc>
              <w:tc>
                <w:tcPr>
                  <w:tcW w:w="4621"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No DRX</w:t>
                  </w:r>
                </w:p>
              </w:tc>
              <w:tc>
                <w:tcPr>
                  <w:tcW w:w="4621" w:type="dxa"/>
                  <w:tcBorders>
                    <w:top w:val="single" w:color="auto" w:sz="4" w:space="0"/>
                    <w:left w:val="single" w:color="auto" w:sz="4" w:space="0"/>
                    <w:bottom w:val="single" w:color="auto" w:sz="4" w:space="0"/>
                    <w:right w:val="single" w:color="auto" w:sz="4" w:space="0"/>
                  </w:tcBorders>
                </w:tcPr>
                <w:p>
                  <w:pPr>
                    <w:pStyle w:val="45"/>
                  </w:pPr>
                  <w:r>
                    <w:t xml:space="preserve">max(120ms, ceil( </w:t>
                  </w:r>
                  <w:r>
                    <w:rPr>
                      <w:highlight w:val="yellow"/>
                    </w:rPr>
                    <w:t>3</w:t>
                  </w:r>
                  <w:r>
                    <w:t xml:space="preserve">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5"/>
                    <w:rPr>
                      <w:b/>
                    </w:rPr>
                  </w:pPr>
                  <w:r>
                    <w:t>max(120ms, ceil (</w:t>
                  </w:r>
                  <w:r>
                    <w:rPr>
                      <w:lang w:eastAsia="zh-CN"/>
                    </w:rPr>
                    <w:t>1.5</w:t>
                  </w:r>
                  <w:r>
                    <w:t xml:space="preserve">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45"/>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rPr>
                      <w:lang w:eastAsia="ko-KR"/>
                    </w:rPr>
                    <w:t>NOTE</w:t>
                  </w:r>
                  <w:r>
                    <w:t xml:space="preserve"> 1:</w:t>
                  </w:r>
                  <w:r>
                    <w:tab/>
                  </w:r>
                  <w:r>
                    <w:t>If different SMTC periodicities are configured for different cells, the SMTC period in the requirement is the one used by the cell being identified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sz w:val="22"/>
                <w:highlight w:val="none"/>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Based on the table in above, we find that the time period for time index detection for NTN is different from legacy considering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(considering without measurement gap),K</w:t>
      </w:r>
      <w:r>
        <w:rPr>
          <w:rFonts w:hint="eastAsia" w:eastAsia="宋体"/>
          <w:sz w:val="22"/>
          <w:highlight w:val="none"/>
          <w:vertAlign w:val="subscript"/>
          <w:lang w:val="en-US" w:eastAsia="zh-CN"/>
        </w:rPr>
        <w:t>gap</w:t>
      </w:r>
      <w:r>
        <w:rPr>
          <w:rFonts w:hint="eastAsia" w:eastAsia="宋体"/>
          <w:sz w:val="22"/>
          <w:highlight w:val="none"/>
          <w:lang w:val="en-US" w:eastAsia="zh-CN"/>
        </w:rPr>
        <w:t xml:space="preserve"> (considering with measurement gap) , K</w:t>
      </w:r>
      <w:r>
        <w:rPr>
          <w:rFonts w:hint="eastAsia" w:eastAsia="宋体"/>
          <w:sz w:val="22"/>
          <w:highlight w:val="none"/>
          <w:vertAlign w:val="subscript"/>
          <w:lang w:val="en-US" w:eastAsia="zh-CN"/>
        </w:rPr>
        <w:t xml:space="preserve">multi_SMTC </w:t>
      </w:r>
      <w:r>
        <w:rPr>
          <w:rFonts w:hint="eastAsia" w:eastAsia="宋体"/>
          <w:sz w:val="22"/>
          <w:highlight w:val="none"/>
          <w:lang w:val="en-US" w:eastAsia="zh-CN"/>
        </w:rPr>
        <w:t xml:space="preserve">and </w:t>
      </w:r>
      <w:r>
        <w:rPr>
          <w:lang w:val="fr-FR"/>
        </w:rPr>
        <w:t>CSSF</w:t>
      </w:r>
      <w:r>
        <w:rPr>
          <w:rFonts w:eastAsia="宋体"/>
          <w:vertAlign w:val="subscript"/>
        </w:rPr>
        <w:t>intra_less_than_5Mhz</w:t>
      </w:r>
      <w:r>
        <w:rPr>
          <w:rFonts w:hint="eastAsia" w:eastAsia="宋体"/>
          <w:sz w:val="22"/>
          <w:highlight w:val="none"/>
          <w:lang w:val="en-US" w:eastAsia="zh-CN"/>
        </w:rPr>
        <w:t>. However, the number of samples is same. Hence, from my perspective, when considering defining the requirements for less than 5M in NTN scenario, RAN4 shall refer to time period defined in less than 5M with K</w:t>
      </w:r>
      <w:r>
        <w:rPr>
          <w:rFonts w:hint="eastAsia" w:eastAsia="宋体"/>
          <w:sz w:val="22"/>
          <w:highlight w:val="none"/>
          <w:vertAlign w:val="subscript"/>
          <w:lang w:val="en-US" w:eastAsia="zh-CN"/>
        </w:rPr>
        <w:t>layer1_measurement</w:t>
      </w:r>
      <w:r>
        <w:rPr>
          <w:rFonts w:hint="eastAsia" w:eastAsia="宋体"/>
          <w:sz w:val="22"/>
          <w:highlight w:val="none"/>
          <w:lang w:val="en-US" w:eastAsia="zh-CN"/>
        </w:rPr>
        <w:t xml:space="preserve"> , K</w:t>
      </w:r>
      <w:r>
        <w:rPr>
          <w:rFonts w:hint="eastAsia" w:eastAsia="宋体"/>
          <w:sz w:val="22"/>
          <w:highlight w:val="none"/>
          <w:vertAlign w:val="subscript"/>
          <w:lang w:val="en-US" w:eastAsia="zh-CN"/>
        </w:rPr>
        <w:t xml:space="preserve">multi_SMTC </w:t>
      </w:r>
      <w:r>
        <w:rPr>
          <w:rFonts w:hint="eastAsia" w:eastAsia="宋体"/>
          <w:sz w:val="22"/>
          <w:highlight w:val="none"/>
          <w:lang w:val="en-US" w:eastAsia="zh-CN"/>
        </w:rPr>
        <w:t>and K</w:t>
      </w:r>
      <w:r>
        <w:rPr>
          <w:rFonts w:hint="eastAsia" w:eastAsia="宋体"/>
          <w:sz w:val="22"/>
          <w:highlight w:val="none"/>
          <w:vertAlign w:val="subscript"/>
          <w:lang w:val="en-US" w:eastAsia="zh-CN"/>
        </w:rPr>
        <w:t>gap</w:t>
      </w:r>
      <w:r>
        <w:rPr>
          <w:rFonts w:hint="eastAsia" w:eastAsia="宋体"/>
          <w:sz w:val="22"/>
          <w:highlight w:val="none"/>
          <w:lang w:val="en-US" w:eastAsia="zh-CN"/>
        </w:rPr>
        <w:t xml:space="preserve">. </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r>
        <w:rPr>
          <w:rFonts w:hint="eastAsia" w:eastAsia="宋体"/>
          <w:lang w:val="en-US" w:eastAsia="zh-CN"/>
        </w:rPr>
        <w:t>for intra-frequency without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x 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r>
              <w:t>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r>
              <w:rPr>
                <w:rFonts w:hint="eastAsia" w:eastAsia="宋体"/>
                <w:lang w:val="en-US" w:eastAsia="zh-CN"/>
              </w:rPr>
              <w:t xml:space="preserve">NOTE 2:   </w:t>
            </w:r>
            <w:r>
              <w:t>If different SMTC periodicities are configured for different cells, the SMTC period in the requirement is the one used by the cell being identified</w:t>
            </w:r>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for intra-frequency with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 xml:space="preserve">max(120ms,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w:t>
            </w:r>
            <w:r>
              <w:rPr>
                <w:rFonts w:hint="eastAsia" w:eastAsia="宋体"/>
                <w:lang w:val="en-US" w:eastAsia="zh-CN"/>
              </w:rPr>
              <w:t xml:space="preserve"> </w:t>
            </w:r>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r>
              <w:rPr>
                <w:rFonts w:hint="eastAsia" w:eastAsia="宋体"/>
                <w:lang w:val="en-US" w:eastAsia="zh-CN"/>
              </w:rPr>
              <w:t xml:space="preserve"> </w:t>
            </w:r>
            <w:r>
              <w:t xml:space="preserve">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sz w:val="22"/>
          <w:highlight w:val="none"/>
          <w:lang w:val="en-US" w:eastAsia="zh-CN"/>
        </w:rPr>
      </w:pPr>
      <w:r>
        <w:rPr>
          <w:rFonts w:hint="eastAsia" w:eastAsia="宋体"/>
          <w:sz w:val="22"/>
          <w:highlight w:val="none"/>
          <w:lang w:val="en-US" w:eastAsia="zh-CN"/>
        </w:rPr>
        <w:t>We just provide the time period for time index detection for intra-frequency without/with measurement gap. The same situation can be studied for inter-frequency measurement. RAN4 shall refer to the legacy less than 5MHz requirements and legacy NTN requirements when considering defining the new requirements.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b/>
          <w:bCs/>
          <w:sz w:val="22"/>
          <w:highlight w:val="none"/>
          <w:vertAlign w:val="baseline"/>
          <w:lang w:val="en-US" w:eastAsia="zh-CN"/>
        </w:rPr>
      </w:pPr>
      <w:r>
        <w:rPr>
          <w:rFonts w:hint="eastAsia" w:eastAsia="宋体"/>
          <w:b/>
          <w:bCs/>
          <w:sz w:val="22"/>
          <w:highlight w:val="none"/>
          <w:lang w:val="en-US" w:eastAsia="zh-CN"/>
        </w:rPr>
        <w:t>Proposal 15: RAN4 shall define the related requirements for less than 5MHz in NTN scenario with considering K</w:t>
      </w:r>
      <w:r>
        <w:rPr>
          <w:rFonts w:hint="eastAsia" w:eastAsia="宋体"/>
          <w:b/>
          <w:bCs/>
          <w:sz w:val="22"/>
          <w:highlight w:val="none"/>
          <w:vertAlign w:val="subscript"/>
          <w:lang w:val="en-US" w:eastAsia="zh-CN"/>
        </w:rPr>
        <w:t>layer1_measurement</w:t>
      </w:r>
      <w:r>
        <w:rPr>
          <w:rFonts w:hint="eastAsia" w:eastAsia="宋体"/>
          <w:b/>
          <w:bCs/>
          <w:sz w:val="22"/>
          <w:highlight w:val="none"/>
          <w:lang w:val="en-US" w:eastAsia="zh-CN"/>
        </w:rPr>
        <w:t xml:space="preserve"> , K</w:t>
      </w:r>
      <w:r>
        <w:rPr>
          <w:rFonts w:hint="eastAsia" w:eastAsia="宋体"/>
          <w:b/>
          <w:bCs/>
          <w:sz w:val="22"/>
          <w:highlight w:val="none"/>
          <w:vertAlign w:val="subscript"/>
          <w:lang w:val="en-US" w:eastAsia="zh-CN"/>
        </w:rPr>
        <w:t>multi_SMTC,</w:t>
      </w:r>
      <w:r>
        <w:rPr>
          <w:rFonts w:hint="eastAsia" w:eastAsia="宋体"/>
          <w:b/>
          <w:bCs/>
          <w:sz w:val="22"/>
          <w:highlight w:val="none"/>
          <w:lang w:val="en-US" w:eastAsia="zh-CN"/>
        </w:rPr>
        <w:t xml:space="preserve"> K</w:t>
      </w:r>
      <w:r>
        <w:rPr>
          <w:rFonts w:hint="eastAsia" w:eastAsia="宋体"/>
          <w:b/>
          <w:bCs/>
          <w:sz w:val="22"/>
          <w:highlight w:val="none"/>
          <w:vertAlign w:val="subscript"/>
          <w:lang w:val="en-US" w:eastAsia="zh-CN"/>
        </w:rPr>
        <w:t xml:space="preserve">gap </w:t>
      </w:r>
      <w:r>
        <w:rPr>
          <w:rFonts w:hint="eastAsia" w:eastAsia="宋体"/>
          <w:b/>
          <w:bCs/>
          <w:sz w:val="22"/>
          <w:highlight w:val="none"/>
          <w:vertAlign w:val="baseline"/>
          <w:lang w:val="en-US" w:eastAsia="zh-CN"/>
        </w:rPr>
        <w:t xml:space="preserve">(intra-frequency with/without measurement gap) and </w:t>
      </w:r>
      <w:r>
        <w:rPr>
          <w:b/>
          <w:bCs/>
          <w:lang w:val="fr-FR"/>
        </w:rPr>
        <w:t>CSSF</w:t>
      </w:r>
      <w:r>
        <w:rPr>
          <w:rFonts w:eastAsia="宋体"/>
          <w:b/>
          <w:bCs/>
          <w:vertAlign w:val="subscript"/>
        </w:rPr>
        <w:t>intra_less_than_5Mhz</w:t>
      </w:r>
      <w:r>
        <w:rPr>
          <w:rFonts w:hint="eastAsia" w:eastAsia="宋体"/>
          <w:b/>
          <w:bCs/>
          <w:sz w:val="22"/>
          <w:highlight w:val="none"/>
          <w:vertAlign w:val="baseline"/>
          <w:lang w:val="en-US" w:eastAsia="zh-CN"/>
        </w:rPr>
        <w:t xml:space="preserve"> :</w:t>
      </w:r>
    </w:p>
    <w:p>
      <w:pPr>
        <w:pStyle w:val="53"/>
        <w:rPr>
          <w:rFonts w:hint="default" w:eastAsia="宋体"/>
          <w:lang w:val="en-US" w:eastAsia="zh-CN"/>
        </w:rPr>
      </w:pPr>
      <w:r>
        <w:rPr>
          <w:rFonts w:eastAsia="宋体"/>
          <w:highlight w:val="none"/>
        </w:rPr>
        <w:t xml:space="preserve">Time period for time index detection for a UE operating on a target cell with 12 PRB </w:t>
      </w:r>
      <w:r>
        <w:rPr>
          <w:rFonts w:eastAsia="宋体"/>
        </w:rPr>
        <w:t xml:space="preserve">SSB (Frequency range FR1) </w:t>
      </w:r>
      <w:r>
        <w:rPr>
          <w:rFonts w:hint="eastAsia" w:eastAsia="宋体"/>
          <w:lang w:val="en-US" w:eastAsia="zh-CN"/>
        </w:rPr>
        <w:t>for intra-frequency without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DRX cycle</w:t>
            </w:r>
          </w:p>
        </w:tc>
        <w:tc>
          <w:tcPr>
            <w:tcW w:w="6940" w:type="dxa"/>
            <w:tcBorders>
              <w:top w:val="single" w:color="auto" w:sz="4" w:space="0"/>
              <w:left w:val="single" w:color="auto" w:sz="4" w:space="0"/>
              <w:bottom w:val="single" w:color="auto" w:sz="4" w:space="0"/>
              <w:right w:val="single" w:color="auto" w:sz="4" w:space="0"/>
            </w:tcBorders>
          </w:tcPr>
          <w:p>
            <w:pPr>
              <w:pStyle w:val="44"/>
              <w:rPr>
                <w:rFonts w:eastAsia="宋体"/>
              </w:rPr>
            </w:pPr>
            <w:r>
              <w:rPr>
                <w:rFonts w:eastAsia="宋体"/>
              </w:rPr>
              <w:t>T</w:t>
            </w:r>
            <w:r>
              <w:rPr>
                <w:rFonts w:eastAsia="宋体"/>
                <w:vertAlign w:val="subscript"/>
              </w:rPr>
              <w:t>SSB_time_index_intra</w:t>
            </w:r>
            <w:r>
              <w:rPr>
                <w:rFonts w:eastAsia="宋体"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No DRX</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 xml:space="preserve">max(120ms, </w:t>
            </w:r>
            <w:r>
              <w:rPr>
                <w:rFonts w:eastAsia="宋体"/>
                <w:highlight w:val="none"/>
              </w:rPr>
              <w:t xml:space="preserve">7 </w:t>
            </w:r>
            <w:r>
              <w:rPr>
                <w:rFonts w:eastAsia="宋体"/>
              </w:rPr>
              <w:t>x max(MGRP, SMTC period))</w:t>
            </w:r>
            <w:r>
              <w:t>x 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rPr>
                <w:rFonts w:eastAsia="宋体"/>
              </w:rPr>
              <w:t xml:space="preserve"> x 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rPr>
            </w:pPr>
            <w:r>
              <w:rPr>
                <w:rFonts w:eastAsia="宋体"/>
              </w:rPr>
              <w:t>DRX cycle</w:t>
            </w:r>
            <w:r>
              <w:rPr>
                <w:rFonts w:hint="eastAsia" w:eastAsia="宋体"/>
                <w:lang w:val="en-US"/>
              </w:rPr>
              <w:t>≤</w:t>
            </w:r>
            <w:r>
              <w:rPr>
                <w:rFonts w:eastAsia="宋体"/>
              </w:rPr>
              <w:t xml:space="preserve"> 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max(120ms, ceil(1.5 x 7) x </w:t>
            </w:r>
            <w:r>
              <w:t>K</w:t>
            </w:r>
            <w:r>
              <w:rPr>
                <w:vertAlign w:val="subscript"/>
                <w:lang w:val="en-US"/>
              </w:rPr>
              <w:t>layer1_measurement</w:t>
            </w:r>
            <w:r>
              <w:rPr>
                <w:rFonts w:hint="eastAsia" w:eastAsia="宋体"/>
                <w:vertAlign w:val="subscript"/>
                <w:lang w:val="en-US" w:eastAsia="zh-CN"/>
              </w:rPr>
              <w:t xml:space="preserve">  </w:t>
            </w:r>
            <w:r>
              <w:t xml:space="preserve">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max(MGRP, SMTC period,DRX cycle) x CSSF</w:t>
            </w:r>
            <w:r>
              <w:rPr>
                <w:rFonts w:eastAsia="宋体"/>
                <w:vertAlign w:val="subscript"/>
              </w:rPr>
              <w:t>intra_less_than_5Mhz</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DRX cycle&gt;320ms</w:t>
            </w:r>
          </w:p>
        </w:tc>
        <w:tc>
          <w:tcPr>
            <w:tcW w:w="6940" w:type="dxa"/>
            <w:tcBorders>
              <w:top w:val="single" w:color="auto" w:sz="4" w:space="0"/>
              <w:left w:val="single" w:color="auto" w:sz="4" w:space="0"/>
              <w:bottom w:val="single" w:color="auto" w:sz="4" w:space="0"/>
              <w:right w:val="single" w:color="auto" w:sz="4" w:space="0"/>
            </w:tcBorders>
          </w:tcPr>
          <w:p>
            <w:pPr>
              <w:pStyle w:val="45"/>
              <w:rPr>
                <w:rFonts w:eastAsia="宋体"/>
                <w:b/>
              </w:rPr>
            </w:pPr>
            <w:r>
              <w:rPr>
                <w:rFonts w:eastAsia="宋体"/>
              </w:rPr>
              <w:t xml:space="preserve">7 x max(MGRP, DRX cycle) x </w:t>
            </w:r>
            <w:r>
              <w:rPr>
                <w:rFonts w:cs="v4.2.0"/>
              </w:rPr>
              <w:t>K</w:t>
            </w:r>
            <w:r>
              <w:rPr>
                <w:rFonts w:cs="v4.2.0"/>
                <w:vertAlign w:val="subscript"/>
              </w:rPr>
              <w:t>multi_SMTC</w:t>
            </w:r>
            <w:r>
              <w:rPr>
                <w:rFonts w:cs="v4.2.0"/>
              </w:rPr>
              <w:t xml:space="preserve"> </w:t>
            </w:r>
            <w:r>
              <w:t>x</w:t>
            </w:r>
            <w:r>
              <w:rPr>
                <w:rFonts w:hint="eastAsia" w:eastAsia="宋体"/>
                <w:lang w:val="en-US" w:eastAsia="zh-CN"/>
              </w:rPr>
              <w:t xml:space="preserve"> </w:t>
            </w:r>
            <w:r>
              <w:rPr>
                <w:rFonts w:eastAsia="宋体"/>
              </w:rPr>
              <w:t>CSSF</w:t>
            </w:r>
            <w:r>
              <w:rPr>
                <w:rFonts w:eastAsia="宋体"/>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8"/>
              <w:rPr>
                <w:rFonts w:eastAsia="Malgun Gothic"/>
              </w:rPr>
            </w:pPr>
            <w:r>
              <w:t>NOTE 1:</w:t>
            </w:r>
            <w:r>
              <w:tab/>
            </w:r>
            <w:r>
              <w:t xml:space="preserve">FFS </w:t>
            </w:r>
            <w:r>
              <w:rPr>
                <w:rFonts w:hint="eastAsia"/>
              </w:rPr>
              <w:t>When</w:t>
            </w:r>
            <w:r>
              <w:t xml:space="preserve"> </w:t>
            </w:r>
            <w:r>
              <w:rPr>
                <w:rFonts w:eastAsia="Malgun Gothic"/>
              </w:rPr>
              <w:t>highSpeedMeasInterFreq-r17</w:t>
            </w:r>
          </w:p>
          <w:p>
            <w:pPr>
              <w:pStyle w:val="58"/>
              <w:rPr>
                <w:rFonts w:hint="default" w:eastAsia="宋体"/>
                <w:lang w:val="en-US" w:eastAsia="zh-CN"/>
              </w:rPr>
            </w:pPr>
            <w:r>
              <w:rPr>
                <w:rFonts w:hint="eastAsia" w:eastAsia="宋体"/>
                <w:lang w:val="en-US" w:eastAsia="zh-CN"/>
              </w:rPr>
              <w:t xml:space="preserve">NOTE 2:   </w:t>
            </w:r>
            <w:r>
              <w:t>If different SMTC periodicities are configured for different cells, the SMTC period in the requirement is the one used by the cell being identified</w:t>
            </w:r>
          </w:p>
        </w:tc>
      </w:tr>
    </w:tbl>
    <w:p>
      <w:pPr>
        <w:pStyle w:val="53"/>
      </w:pPr>
    </w:p>
    <w:p>
      <w:pPr>
        <w:pStyle w:val="53"/>
        <w:rPr>
          <w:rFonts w:hint="default" w:eastAsia="宋体"/>
          <w:lang w:val="en-US" w:eastAsia="zh-CN"/>
        </w:rPr>
      </w:pPr>
      <w:r>
        <w:t>Time period for time index detection</w:t>
      </w:r>
      <w:r>
        <w:rPr>
          <w:rFonts w:eastAsia="宋体"/>
        </w:rPr>
        <w:t xml:space="preserve"> for a UE operating on a target cell with 12 PRB SSB</w:t>
      </w:r>
      <w:r>
        <w:t xml:space="preserve"> (Frequency range FR1) </w:t>
      </w:r>
      <w:r>
        <w:rPr>
          <w:rFonts w:eastAsia="宋体"/>
        </w:rPr>
        <w:t>(Frequency range FR1)</w:t>
      </w:r>
      <w:r>
        <w:rPr>
          <w:rFonts w:hint="eastAsia" w:eastAsia="宋体"/>
          <w:lang w:val="en-US" w:eastAsia="zh-CN"/>
        </w:rPr>
        <w:t xml:space="preserve"> for intra-frequency with measurement gap</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4"/>
            </w:pPr>
            <w:r>
              <w:t>DRX cycle</w:t>
            </w:r>
          </w:p>
        </w:tc>
        <w:tc>
          <w:tcPr>
            <w:tcW w:w="6978" w:type="dxa"/>
            <w:tcBorders>
              <w:top w:val="single" w:color="auto" w:sz="4" w:space="0"/>
              <w:left w:val="single" w:color="auto" w:sz="4" w:space="0"/>
              <w:bottom w:val="single" w:color="auto" w:sz="4" w:space="0"/>
              <w:right w:val="single" w:color="auto" w:sz="4" w:space="0"/>
            </w:tcBorders>
          </w:tcPr>
          <w:p>
            <w:pPr>
              <w:pStyle w:val="44"/>
            </w:pPr>
            <w:r>
              <w:t>T</w:t>
            </w:r>
            <w:r>
              <w:rPr>
                <w:vertAlign w:val="subscript"/>
              </w:rPr>
              <w:t>SSB_time_index_intra</w:t>
            </w:r>
            <w:r>
              <w:rPr>
                <w:rFonts w:cs="Arial"/>
                <w:szCs w:val="18"/>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No DRX</w:t>
            </w:r>
          </w:p>
        </w:tc>
        <w:tc>
          <w:tcPr>
            <w:tcW w:w="6978" w:type="dxa"/>
            <w:tcBorders>
              <w:top w:val="single" w:color="auto" w:sz="4" w:space="0"/>
              <w:left w:val="single" w:color="auto" w:sz="4" w:space="0"/>
              <w:bottom w:val="single" w:color="auto" w:sz="4" w:space="0"/>
              <w:right w:val="single" w:color="auto" w:sz="4" w:space="0"/>
            </w:tcBorders>
          </w:tcPr>
          <w:p>
            <w:pPr>
              <w:pStyle w:val="45"/>
            </w:pPr>
            <w:r>
              <w:t xml:space="preserve">max(120ms,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w:t>
            </w:r>
            <w:r>
              <w:rPr>
                <w:rFonts w:hint="eastAsia" w:eastAsia="宋体"/>
                <w:lang w:val="en-US" w:eastAsia="zh-CN"/>
              </w:rPr>
              <w:t>x</w:t>
            </w:r>
            <w:r>
              <w:t xml:space="preserve"> max(MGRP, SMTC period))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pPr>
            <w:r>
              <w:t>DRX cycle</w:t>
            </w:r>
            <w:r>
              <w:rPr>
                <w:rFonts w:hint="eastAsia"/>
                <w:lang w:val="en-US"/>
              </w:rPr>
              <w:t>≤</w:t>
            </w:r>
            <w:r>
              <w:t xml:space="preserve"> 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 xml:space="preserve">max(120ms, ceil(1.5 x 7)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w:t>
            </w:r>
            <w:r>
              <w:rPr>
                <w:rFonts w:hint="eastAsia" w:eastAsia="宋体"/>
                <w:lang w:val="en-US" w:eastAsia="zh-CN"/>
              </w:rPr>
              <w:t xml:space="preserve"> </w:t>
            </w:r>
            <w:r>
              <w:t>max(MGRP, SMTC period,DRX cycle) x CSSF</w:t>
            </w:r>
            <w:r>
              <w:rPr>
                <w:vertAlign w:val="subscript"/>
              </w:rPr>
              <w:t>intra_less_than_5Mhz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pPr>
              <w:pStyle w:val="45"/>
              <w:rPr>
                <w:b/>
              </w:rPr>
            </w:pPr>
            <w:r>
              <w:t>DRX cycle&gt;320ms</w:t>
            </w:r>
          </w:p>
        </w:tc>
        <w:tc>
          <w:tcPr>
            <w:tcW w:w="6978" w:type="dxa"/>
            <w:tcBorders>
              <w:top w:val="single" w:color="auto" w:sz="4" w:space="0"/>
              <w:left w:val="single" w:color="auto" w:sz="4" w:space="0"/>
              <w:bottom w:val="single" w:color="auto" w:sz="4" w:space="0"/>
              <w:right w:val="single" w:color="auto" w:sz="4" w:space="0"/>
            </w:tcBorders>
          </w:tcPr>
          <w:p>
            <w:pPr>
              <w:pStyle w:val="45"/>
              <w:rPr>
                <w:b/>
              </w:rPr>
            </w:pPr>
            <w:r>
              <w:t>7 x</w:t>
            </w:r>
            <w:r>
              <w:rPr>
                <w:rFonts w:hint="eastAsia" w:eastAsia="宋体"/>
                <w:lang w:val="en-US" w:eastAsia="zh-CN"/>
              </w:rPr>
              <w:t xml:space="preserve"> </w:t>
            </w:r>
            <w:r>
              <w:t xml:space="preserve">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rPr>
                <w:rFonts w:hint="eastAsia" w:eastAsia="宋体" w:cs="v4.2.0"/>
                <w:vertAlign w:val="subscript"/>
                <w:lang w:val="en-US" w:eastAsia="zh-CN"/>
              </w:rPr>
              <w:t xml:space="preserve"> </w:t>
            </w:r>
            <w:r>
              <w:t>x max(MGRP, DRX cycle) x CSSF</w:t>
            </w:r>
            <w:r>
              <w:rPr>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58"/>
            </w:pPr>
            <w:r>
              <w:t>Note 1: CSSF</w:t>
            </w:r>
            <w:r>
              <w:rPr>
                <w:vertAlign w:val="subscript"/>
              </w:rPr>
              <w:t xml:space="preserve">intra_less_than_5Mhz </w:t>
            </w:r>
            <w:r>
              <w:t>is 1</w:t>
            </w:r>
          </w:p>
          <w:p>
            <w:pPr>
              <w:pStyle w:val="58"/>
            </w:pPr>
            <w:r>
              <w:t>NOTE 2:</w:t>
            </w:r>
            <w:r>
              <w:tab/>
            </w:r>
            <w:r>
              <w:t xml:space="preserve">FFS </w:t>
            </w:r>
            <w:r>
              <w:rPr>
                <w:rFonts w:hint="eastAsia"/>
              </w:rPr>
              <w:t>When</w:t>
            </w:r>
            <w:r>
              <w:t xml:space="preserve"> </w:t>
            </w:r>
            <w:r>
              <w:rPr>
                <w:rFonts w:eastAsia="Malgun Gothic"/>
                <w:i/>
                <w:iCs/>
              </w:rPr>
              <w:t>highSpeedMeasInterFreq-r17</w:t>
            </w:r>
          </w:p>
        </w:tc>
      </w:tr>
    </w:tbl>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spacing w:before="120" w:after="120"/>
        <w:rPr>
          <w:rFonts w:eastAsia="宋体"/>
          <w:lang w:eastAsia="zh-CN"/>
        </w:rPr>
      </w:pP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rFonts w:hint="eastAsia"/>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rFonts w:hint="default"/>
          <w:lang w:val="en-US" w:eastAsia="zh-CN"/>
        </w:rPr>
      </w:pPr>
      <w:r>
        <w:rPr>
          <w:rFonts w:hint="eastAsia"/>
          <w:lang w:val="en-US" w:eastAsia="zh-CN"/>
        </w:rPr>
        <w:t>TS38.133</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305F7"/>
    <w:multiLevelType w:val="singleLevel"/>
    <w:tmpl w:val="9AF305F7"/>
    <w:lvl w:ilvl="0" w:tentative="0">
      <w:start w:val="1"/>
      <w:numFmt w:val="bullet"/>
      <w:lvlText w:val=""/>
      <w:lvlJc w:val="left"/>
      <w:pPr>
        <w:ind w:left="420" w:hanging="420"/>
      </w:pPr>
      <w:rPr>
        <w:rFonts w:hint="default" w:ascii="Wingdings" w:hAnsi="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4"/>
  </w:num>
  <w:num w:numId="3">
    <w:abstractNumId w:val="2"/>
  </w:num>
  <w:num w:numId="4">
    <w:abstractNumId w:val="5"/>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652E48"/>
    <w:rsid w:val="01862D0E"/>
    <w:rsid w:val="018F1743"/>
    <w:rsid w:val="018F25C8"/>
    <w:rsid w:val="01906A5B"/>
    <w:rsid w:val="01907C39"/>
    <w:rsid w:val="019F41BD"/>
    <w:rsid w:val="01CE0603"/>
    <w:rsid w:val="01D51FE8"/>
    <w:rsid w:val="01E70C97"/>
    <w:rsid w:val="01EA15CF"/>
    <w:rsid w:val="021951FF"/>
    <w:rsid w:val="023A59BC"/>
    <w:rsid w:val="02402E7C"/>
    <w:rsid w:val="02505886"/>
    <w:rsid w:val="025A5C68"/>
    <w:rsid w:val="027C74A2"/>
    <w:rsid w:val="029011A2"/>
    <w:rsid w:val="02A03627"/>
    <w:rsid w:val="02B66382"/>
    <w:rsid w:val="02DB4554"/>
    <w:rsid w:val="02DD1CD4"/>
    <w:rsid w:val="02DF0D66"/>
    <w:rsid w:val="02EC4357"/>
    <w:rsid w:val="02EE768C"/>
    <w:rsid w:val="02FA1082"/>
    <w:rsid w:val="031778E0"/>
    <w:rsid w:val="0327096F"/>
    <w:rsid w:val="032737B0"/>
    <w:rsid w:val="032A315A"/>
    <w:rsid w:val="03481CC2"/>
    <w:rsid w:val="034E163D"/>
    <w:rsid w:val="034F02E2"/>
    <w:rsid w:val="03572405"/>
    <w:rsid w:val="037709BE"/>
    <w:rsid w:val="037A1943"/>
    <w:rsid w:val="03BF3D9F"/>
    <w:rsid w:val="03BF72E7"/>
    <w:rsid w:val="03C80AD2"/>
    <w:rsid w:val="03C95263"/>
    <w:rsid w:val="03CA7EB2"/>
    <w:rsid w:val="03F0584F"/>
    <w:rsid w:val="03FB5627"/>
    <w:rsid w:val="04043AA5"/>
    <w:rsid w:val="04076F95"/>
    <w:rsid w:val="0409766A"/>
    <w:rsid w:val="04242812"/>
    <w:rsid w:val="04383CC9"/>
    <w:rsid w:val="04421BA4"/>
    <w:rsid w:val="044B12E0"/>
    <w:rsid w:val="046301A2"/>
    <w:rsid w:val="04732FB8"/>
    <w:rsid w:val="04871DE8"/>
    <w:rsid w:val="048F6485"/>
    <w:rsid w:val="04A12403"/>
    <w:rsid w:val="04A815F7"/>
    <w:rsid w:val="04AB1CB5"/>
    <w:rsid w:val="04AD06A4"/>
    <w:rsid w:val="04BD1E3A"/>
    <w:rsid w:val="04D5637C"/>
    <w:rsid w:val="050C7718"/>
    <w:rsid w:val="0510745B"/>
    <w:rsid w:val="05214F03"/>
    <w:rsid w:val="052F7D10"/>
    <w:rsid w:val="055E02FB"/>
    <w:rsid w:val="05630D81"/>
    <w:rsid w:val="056A3BE2"/>
    <w:rsid w:val="058C4826"/>
    <w:rsid w:val="05AD05DE"/>
    <w:rsid w:val="05AE2916"/>
    <w:rsid w:val="05B1379B"/>
    <w:rsid w:val="05C20597"/>
    <w:rsid w:val="05C6466C"/>
    <w:rsid w:val="05DB67C3"/>
    <w:rsid w:val="05E60F0C"/>
    <w:rsid w:val="05F02736"/>
    <w:rsid w:val="05F61BB8"/>
    <w:rsid w:val="06026AB1"/>
    <w:rsid w:val="060D0D66"/>
    <w:rsid w:val="062C2061"/>
    <w:rsid w:val="062D43AF"/>
    <w:rsid w:val="06311BAC"/>
    <w:rsid w:val="067C67DB"/>
    <w:rsid w:val="067F65D2"/>
    <w:rsid w:val="068158A4"/>
    <w:rsid w:val="06A05FC0"/>
    <w:rsid w:val="06AE1485"/>
    <w:rsid w:val="06E54956"/>
    <w:rsid w:val="07007517"/>
    <w:rsid w:val="07073FA3"/>
    <w:rsid w:val="070F1174"/>
    <w:rsid w:val="072F7FC6"/>
    <w:rsid w:val="0732584E"/>
    <w:rsid w:val="074109F4"/>
    <w:rsid w:val="07583E9D"/>
    <w:rsid w:val="075A7EF6"/>
    <w:rsid w:val="076202A2"/>
    <w:rsid w:val="076A2A73"/>
    <w:rsid w:val="078759D7"/>
    <w:rsid w:val="07AE506C"/>
    <w:rsid w:val="07C05808"/>
    <w:rsid w:val="07C22AAD"/>
    <w:rsid w:val="07C3764D"/>
    <w:rsid w:val="07C644D1"/>
    <w:rsid w:val="07F66AC5"/>
    <w:rsid w:val="07FA2981"/>
    <w:rsid w:val="081F651B"/>
    <w:rsid w:val="0833764C"/>
    <w:rsid w:val="083F5297"/>
    <w:rsid w:val="084677D5"/>
    <w:rsid w:val="0848005E"/>
    <w:rsid w:val="084B1A9E"/>
    <w:rsid w:val="084C657D"/>
    <w:rsid w:val="084D12F0"/>
    <w:rsid w:val="087B6B61"/>
    <w:rsid w:val="087E40F9"/>
    <w:rsid w:val="08916AA8"/>
    <w:rsid w:val="089F664F"/>
    <w:rsid w:val="08A153B1"/>
    <w:rsid w:val="08A203F3"/>
    <w:rsid w:val="08AF00C1"/>
    <w:rsid w:val="08B531C0"/>
    <w:rsid w:val="08BB1078"/>
    <w:rsid w:val="08BD1F16"/>
    <w:rsid w:val="08C469E4"/>
    <w:rsid w:val="08D53034"/>
    <w:rsid w:val="08DA28B3"/>
    <w:rsid w:val="08DD2BEF"/>
    <w:rsid w:val="0903652D"/>
    <w:rsid w:val="090556C6"/>
    <w:rsid w:val="09104DCD"/>
    <w:rsid w:val="0913040F"/>
    <w:rsid w:val="094C40B4"/>
    <w:rsid w:val="095B4A62"/>
    <w:rsid w:val="09606948"/>
    <w:rsid w:val="096D7D04"/>
    <w:rsid w:val="096E0D4F"/>
    <w:rsid w:val="09736AE0"/>
    <w:rsid w:val="099C4684"/>
    <w:rsid w:val="09E30E5D"/>
    <w:rsid w:val="09F25D5F"/>
    <w:rsid w:val="0A1131EF"/>
    <w:rsid w:val="0A141797"/>
    <w:rsid w:val="0A143BE1"/>
    <w:rsid w:val="0A220AAD"/>
    <w:rsid w:val="0A263E9C"/>
    <w:rsid w:val="0A286DFB"/>
    <w:rsid w:val="0A5002F7"/>
    <w:rsid w:val="0A5164D1"/>
    <w:rsid w:val="0A6C43DE"/>
    <w:rsid w:val="0ABC02E8"/>
    <w:rsid w:val="0AC16484"/>
    <w:rsid w:val="0ACB2015"/>
    <w:rsid w:val="0AD20D5E"/>
    <w:rsid w:val="0AD555AC"/>
    <w:rsid w:val="0AED24FC"/>
    <w:rsid w:val="0B0F4A80"/>
    <w:rsid w:val="0B1B1997"/>
    <w:rsid w:val="0B24532C"/>
    <w:rsid w:val="0B3F6621"/>
    <w:rsid w:val="0B46021F"/>
    <w:rsid w:val="0B4D2A88"/>
    <w:rsid w:val="0B527B25"/>
    <w:rsid w:val="0B5B4CA4"/>
    <w:rsid w:val="0B5E04B4"/>
    <w:rsid w:val="0B5E0983"/>
    <w:rsid w:val="0B6A4840"/>
    <w:rsid w:val="0B707256"/>
    <w:rsid w:val="0B7129F9"/>
    <w:rsid w:val="0B744B6D"/>
    <w:rsid w:val="0B7E60C9"/>
    <w:rsid w:val="0B8730CC"/>
    <w:rsid w:val="0B927AF3"/>
    <w:rsid w:val="0B997D22"/>
    <w:rsid w:val="0BA069F6"/>
    <w:rsid w:val="0BB6397D"/>
    <w:rsid w:val="0BC97B63"/>
    <w:rsid w:val="0BD644F2"/>
    <w:rsid w:val="0BE05B3D"/>
    <w:rsid w:val="0BEB139D"/>
    <w:rsid w:val="0BEF4F2C"/>
    <w:rsid w:val="0BF03462"/>
    <w:rsid w:val="0BF56721"/>
    <w:rsid w:val="0C1E2E71"/>
    <w:rsid w:val="0C2D4BD9"/>
    <w:rsid w:val="0C5161F8"/>
    <w:rsid w:val="0C52360D"/>
    <w:rsid w:val="0C6B5BA9"/>
    <w:rsid w:val="0C6E60F3"/>
    <w:rsid w:val="0C7C1976"/>
    <w:rsid w:val="0C830617"/>
    <w:rsid w:val="0CAC6DE2"/>
    <w:rsid w:val="0CBA5E3E"/>
    <w:rsid w:val="0CCB3B11"/>
    <w:rsid w:val="0CDE5118"/>
    <w:rsid w:val="0CDE55BC"/>
    <w:rsid w:val="0CDF3914"/>
    <w:rsid w:val="0CE7776D"/>
    <w:rsid w:val="0CEA2CF7"/>
    <w:rsid w:val="0D035130"/>
    <w:rsid w:val="0D23336E"/>
    <w:rsid w:val="0D284B82"/>
    <w:rsid w:val="0D2D1208"/>
    <w:rsid w:val="0D3A5239"/>
    <w:rsid w:val="0D3A7039"/>
    <w:rsid w:val="0D4356A8"/>
    <w:rsid w:val="0D8735F9"/>
    <w:rsid w:val="0D8972A3"/>
    <w:rsid w:val="0D8C24E1"/>
    <w:rsid w:val="0D94436C"/>
    <w:rsid w:val="0D980C13"/>
    <w:rsid w:val="0DB607B8"/>
    <w:rsid w:val="0DC22600"/>
    <w:rsid w:val="0DC51AC4"/>
    <w:rsid w:val="0DC63EF2"/>
    <w:rsid w:val="0DD75C5E"/>
    <w:rsid w:val="0DE9579A"/>
    <w:rsid w:val="0DE969F5"/>
    <w:rsid w:val="0DFF4B13"/>
    <w:rsid w:val="0E0132C0"/>
    <w:rsid w:val="0E041001"/>
    <w:rsid w:val="0E093416"/>
    <w:rsid w:val="0E0C3E0B"/>
    <w:rsid w:val="0E1F1160"/>
    <w:rsid w:val="0E402695"/>
    <w:rsid w:val="0E4F7F50"/>
    <w:rsid w:val="0E5C591E"/>
    <w:rsid w:val="0E6A704C"/>
    <w:rsid w:val="0E6B4543"/>
    <w:rsid w:val="0E777792"/>
    <w:rsid w:val="0E7B1FCA"/>
    <w:rsid w:val="0E880E39"/>
    <w:rsid w:val="0E9D025B"/>
    <w:rsid w:val="0EA8225F"/>
    <w:rsid w:val="0ED01837"/>
    <w:rsid w:val="0ED33A29"/>
    <w:rsid w:val="0ED8660B"/>
    <w:rsid w:val="0EF97174"/>
    <w:rsid w:val="0F0F3D45"/>
    <w:rsid w:val="0F2550AA"/>
    <w:rsid w:val="0F2B36C0"/>
    <w:rsid w:val="0F3A116B"/>
    <w:rsid w:val="0F4942A2"/>
    <w:rsid w:val="0F4A66BD"/>
    <w:rsid w:val="0F511411"/>
    <w:rsid w:val="0F703346"/>
    <w:rsid w:val="0F80004E"/>
    <w:rsid w:val="0F871EAB"/>
    <w:rsid w:val="0F9D3FD2"/>
    <w:rsid w:val="0F9F1528"/>
    <w:rsid w:val="0FDF5A14"/>
    <w:rsid w:val="0FFF3FF2"/>
    <w:rsid w:val="1008703A"/>
    <w:rsid w:val="10126FBC"/>
    <w:rsid w:val="103809FF"/>
    <w:rsid w:val="10764104"/>
    <w:rsid w:val="108A5F33"/>
    <w:rsid w:val="1096068D"/>
    <w:rsid w:val="109F23E5"/>
    <w:rsid w:val="10B951CF"/>
    <w:rsid w:val="10BB3068"/>
    <w:rsid w:val="10D24280"/>
    <w:rsid w:val="10D82C05"/>
    <w:rsid w:val="10FC1774"/>
    <w:rsid w:val="10FC7A16"/>
    <w:rsid w:val="110D2C89"/>
    <w:rsid w:val="110E3EB6"/>
    <w:rsid w:val="11131D94"/>
    <w:rsid w:val="111778A8"/>
    <w:rsid w:val="111E4B32"/>
    <w:rsid w:val="1124277B"/>
    <w:rsid w:val="113B4A52"/>
    <w:rsid w:val="114E4423"/>
    <w:rsid w:val="11617971"/>
    <w:rsid w:val="11622F64"/>
    <w:rsid w:val="116F4939"/>
    <w:rsid w:val="117400AF"/>
    <w:rsid w:val="11846297"/>
    <w:rsid w:val="1186164E"/>
    <w:rsid w:val="118660F9"/>
    <w:rsid w:val="1191682E"/>
    <w:rsid w:val="11A4592F"/>
    <w:rsid w:val="11AD4D58"/>
    <w:rsid w:val="11B5691A"/>
    <w:rsid w:val="11B67206"/>
    <w:rsid w:val="11BA4661"/>
    <w:rsid w:val="11BA6A1A"/>
    <w:rsid w:val="11DA456B"/>
    <w:rsid w:val="11E411C4"/>
    <w:rsid w:val="11EE75FC"/>
    <w:rsid w:val="11FA2349"/>
    <w:rsid w:val="12044AB3"/>
    <w:rsid w:val="120C7685"/>
    <w:rsid w:val="121015B2"/>
    <w:rsid w:val="12342A01"/>
    <w:rsid w:val="12371472"/>
    <w:rsid w:val="12533BE9"/>
    <w:rsid w:val="12563736"/>
    <w:rsid w:val="126548EE"/>
    <w:rsid w:val="12817181"/>
    <w:rsid w:val="129E41E5"/>
    <w:rsid w:val="12AA4BE9"/>
    <w:rsid w:val="12B1333A"/>
    <w:rsid w:val="12C003F7"/>
    <w:rsid w:val="12C7679B"/>
    <w:rsid w:val="12DD774D"/>
    <w:rsid w:val="12E20B88"/>
    <w:rsid w:val="130D494D"/>
    <w:rsid w:val="13202B24"/>
    <w:rsid w:val="133E4EC4"/>
    <w:rsid w:val="135702FC"/>
    <w:rsid w:val="13581549"/>
    <w:rsid w:val="136404F3"/>
    <w:rsid w:val="137E2663"/>
    <w:rsid w:val="13B61E8E"/>
    <w:rsid w:val="13C23A1B"/>
    <w:rsid w:val="13C76244"/>
    <w:rsid w:val="13CF28FB"/>
    <w:rsid w:val="13DA7C15"/>
    <w:rsid w:val="13EA5E5F"/>
    <w:rsid w:val="140329A8"/>
    <w:rsid w:val="14107AE9"/>
    <w:rsid w:val="14157DFD"/>
    <w:rsid w:val="14175E0A"/>
    <w:rsid w:val="141F1BA5"/>
    <w:rsid w:val="142A2204"/>
    <w:rsid w:val="144E7AE0"/>
    <w:rsid w:val="1452019E"/>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6508EF"/>
    <w:rsid w:val="15693006"/>
    <w:rsid w:val="15716A99"/>
    <w:rsid w:val="157177C3"/>
    <w:rsid w:val="15755788"/>
    <w:rsid w:val="157F2CB1"/>
    <w:rsid w:val="1581047E"/>
    <w:rsid w:val="15895642"/>
    <w:rsid w:val="15A444EB"/>
    <w:rsid w:val="15B0540D"/>
    <w:rsid w:val="15B7532E"/>
    <w:rsid w:val="15C84147"/>
    <w:rsid w:val="15CA017F"/>
    <w:rsid w:val="15D44CB9"/>
    <w:rsid w:val="15D64DE0"/>
    <w:rsid w:val="15D71AD5"/>
    <w:rsid w:val="15DC38C2"/>
    <w:rsid w:val="15F23B4A"/>
    <w:rsid w:val="15FC08F6"/>
    <w:rsid w:val="15FF5FA5"/>
    <w:rsid w:val="160339FE"/>
    <w:rsid w:val="16385E17"/>
    <w:rsid w:val="1646133C"/>
    <w:rsid w:val="16535A2F"/>
    <w:rsid w:val="165931D9"/>
    <w:rsid w:val="16682D3E"/>
    <w:rsid w:val="167046E9"/>
    <w:rsid w:val="167E382D"/>
    <w:rsid w:val="16B64EC9"/>
    <w:rsid w:val="16C8771D"/>
    <w:rsid w:val="16DC0535"/>
    <w:rsid w:val="16FA20DA"/>
    <w:rsid w:val="17060D55"/>
    <w:rsid w:val="170716B6"/>
    <w:rsid w:val="170F5DE2"/>
    <w:rsid w:val="17203431"/>
    <w:rsid w:val="172C56B5"/>
    <w:rsid w:val="1748083E"/>
    <w:rsid w:val="17553F9F"/>
    <w:rsid w:val="175623CE"/>
    <w:rsid w:val="175E2809"/>
    <w:rsid w:val="176538DA"/>
    <w:rsid w:val="17787D90"/>
    <w:rsid w:val="1794775D"/>
    <w:rsid w:val="17C376AD"/>
    <w:rsid w:val="17CB4905"/>
    <w:rsid w:val="17D01F3A"/>
    <w:rsid w:val="17DC7DAF"/>
    <w:rsid w:val="17DF40F7"/>
    <w:rsid w:val="180E4FC5"/>
    <w:rsid w:val="18171331"/>
    <w:rsid w:val="181F3A21"/>
    <w:rsid w:val="18396192"/>
    <w:rsid w:val="184A4BE3"/>
    <w:rsid w:val="18500258"/>
    <w:rsid w:val="185060EC"/>
    <w:rsid w:val="18543427"/>
    <w:rsid w:val="18545FAF"/>
    <w:rsid w:val="185A42FA"/>
    <w:rsid w:val="18870C54"/>
    <w:rsid w:val="189D2207"/>
    <w:rsid w:val="18A45C40"/>
    <w:rsid w:val="18D57338"/>
    <w:rsid w:val="18E96032"/>
    <w:rsid w:val="18EE62E8"/>
    <w:rsid w:val="18F96461"/>
    <w:rsid w:val="19094BBF"/>
    <w:rsid w:val="19116F8E"/>
    <w:rsid w:val="194E6691"/>
    <w:rsid w:val="19551A74"/>
    <w:rsid w:val="195942F0"/>
    <w:rsid w:val="195F7D63"/>
    <w:rsid w:val="196B18E4"/>
    <w:rsid w:val="197A625B"/>
    <w:rsid w:val="197C2433"/>
    <w:rsid w:val="19933139"/>
    <w:rsid w:val="19A370D2"/>
    <w:rsid w:val="19AC4F46"/>
    <w:rsid w:val="19BD7FCA"/>
    <w:rsid w:val="19C83DDC"/>
    <w:rsid w:val="19D57461"/>
    <w:rsid w:val="19E5590B"/>
    <w:rsid w:val="19E74602"/>
    <w:rsid w:val="19EE7D0B"/>
    <w:rsid w:val="1A077D86"/>
    <w:rsid w:val="1A085685"/>
    <w:rsid w:val="1A191F3E"/>
    <w:rsid w:val="1A342071"/>
    <w:rsid w:val="1A5163D6"/>
    <w:rsid w:val="1A54768F"/>
    <w:rsid w:val="1A5A669E"/>
    <w:rsid w:val="1A796C32"/>
    <w:rsid w:val="1A9B6333"/>
    <w:rsid w:val="1AA11028"/>
    <w:rsid w:val="1AB9028C"/>
    <w:rsid w:val="1AB91166"/>
    <w:rsid w:val="1ABD699B"/>
    <w:rsid w:val="1AC56317"/>
    <w:rsid w:val="1AD6319E"/>
    <w:rsid w:val="1AE47B80"/>
    <w:rsid w:val="1B4B651F"/>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F292D"/>
    <w:rsid w:val="1C5F3B2B"/>
    <w:rsid w:val="1C631E26"/>
    <w:rsid w:val="1C7530BF"/>
    <w:rsid w:val="1C8361D3"/>
    <w:rsid w:val="1C954E9B"/>
    <w:rsid w:val="1CBB1BB0"/>
    <w:rsid w:val="1CBC5611"/>
    <w:rsid w:val="1CCB7770"/>
    <w:rsid w:val="1CD22EF6"/>
    <w:rsid w:val="1CD7177C"/>
    <w:rsid w:val="1CF005FD"/>
    <w:rsid w:val="1CF6531E"/>
    <w:rsid w:val="1CF73467"/>
    <w:rsid w:val="1D0B195E"/>
    <w:rsid w:val="1D1B606C"/>
    <w:rsid w:val="1D3570D5"/>
    <w:rsid w:val="1D4E0EB2"/>
    <w:rsid w:val="1D607992"/>
    <w:rsid w:val="1D693FA7"/>
    <w:rsid w:val="1D8F4E65"/>
    <w:rsid w:val="1D9C0F42"/>
    <w:rsid w:val="1DA063BF"/>
    <w:rsid w:val="1DAE7EBF"/>
    <w:rsid w:val="1DB41D7B"/>
    <w:rsid w:val="1DB553DF"/>
    <w:rsid w:val="1DBF1882"/>
    <w:rsid w:val="1DC84414"/>
    <w:rsid w:val="1DCA3F6C"/>
    <w:rsid w:val="1DF17BE1"/>
    <w:rsid w:val="1DF91071"/>
    <w:rsid w:val="1E004D92"/>
    <w:rsid w:val="1E167557"/>
    <w:rsid w:val="1E302A17"/>
    <w:rsid w:val="1E4719A3"/>
    <w:rsid w:val="1E551952"/>
    <w:rsid w:val="1E5F1F97"/>
    <w:rsid w:val="1E6C5F4E"/>
    <w:rsid w:val="1E755015"/>
    <w:rsid w:val="1EA65561"/>
    <w:rsid w:val="1EAD4127"/>
    <w:rsid w:val="1EB70BD9"/>
    <w:rsid w:val="1EB8797A"/>
    <w:rsid w:val="1EEC719E"/>
    <w:rsid w:val="1EEE2F09"/>
    <w:rsid w:val="1EF7018A"/>
    <w:rsid w:val="1F0242AA"/>
    <w:rsid w:val="1F044236"/>
    <w:rsid w:val="1F111D05"/>
    <w:rsid w:val="1F25251D"/>
    <w:rsid w:val="1F2B5438"/>
    <w:rsid w:val="1F390590"/>
    <w:rsid w:val="1F424A01"/>
    <w:rsid w:val="1F4B0BE5"/>
    <w:rsid w:val="1F4C33CB"/>
    <w:rsid w:val="1F4C6748"/>
    <w:rsid w:val="1F595467"/>
    <w:rsid w:val="1F5B2F4F"/>
    <w:rsid w:val="1F5C06A1"/>
    <w:rsid w:val="1F774357"/>
    <w:rsid w:val="1F85321F"/>
    <w:rsid w:val="1FA93A51"/>
    <w:rsid w:val="1FB80942"/>
    <w:rsid w:val="1FBB5482"/>
    <w:rsid w:val="1FCE373D"/>
    <w:rsid w:val="2001262E"/>
    <w:rsid w:val="200D64BE"/>
    <w:rsid w:val="20153599"/>
    <w:rsid w:val="201B2789"/>
    <w:rsid w:val="20214DF0"/>
    <w:rsid w:val="20256516"/>
    <w:rsid w:val="20584BED"/>
    <w:rsid w:val="207F7CDD"/>
    <w:rsid w:val="20A4578F"/>
    <w:rsid w:val="20BC55C4"/>
    <w:rsid w:val="20D40A6C"/>
    <w:rsid w:val="20D60AAE"/>
    <w:rsid w:val="21061BA2"/>
    <w:rsid w:val="2121427E"/>
    <w:rsid w:val="21262CBA"/>
    <w:rsid w:val="212B1C97"/>
    <w:rsid w:val="21361FB5"/>
    <w:rsid w:val="214B3D89"/>
    <w:rsid w:val="2154483D"/>
    <w:rsid w:val="21575426"/>
    <w:rsid w:val="215C1F77"/>
    <w:rsid w:val="216C7D5C"/>
    <w:rsid w:val="2177769E"/>
    <w:rsid w:val="217C4489"/>
    <w:rsid w:val="21A93954"/>
    <w:rsid w:val="21D25FF2"/>
    <w:rsid w:val="21D35B8A"/>
    <w:rsid w:val="21D5280D"/>
    <w:rsid w:val="21EB6B55"/>
    <w:rsid w:val="21F70210"/>
    <w:rsid w:val="22110474"/>
    <w:rsid w:val="221E0187"/>
    <w:rsid w:val="22344A9E"/>
    <w:rsid w:val="22363269"/>
    <w:rsid w:val="223C2DAF"/>
    <w:rsid w:val="223E2651"/>
    <w:rsid w:val="224E39C0"/>
    <w:rsid w:val="226575C4"/>
    <w:rsid w:val="22682C5C"/>
    <w:rsid w:val="226D3EEA"/>
    <w:rsid w:val="226E077B"/>
    <w:rsid w:val="228935B5"/>
    <w:rsid w:val="22923DE9"/>
    <w:rsid w:val="22973417"/>
    <w:rsid w:val="229D5794"/>
    <w:rsid w:val="22AD1241"/>
    <w:rsid w:val="22C17DB5"/>
    <w:rsid w:val="22C32593"/>
    <w:rsid w:val="22C629AC"/>
    <w:rsid w:val="22D6244E"/>
    <w:rsid w:val="22DD27AA"/>
    <w:rsid w:val="22E96F92"/>
    <w:rsid w:val="23060CEA"/>
    <w:rsid w:val="230D3451"/>
    <w:rsid w:val="230E5678"/>
    <w:rsid w:val="23257653"/>
    <w:rsid w:val="23346FCE"/>
    <w:rsid w:val="23441FFA"/>
    <w:rsid w:val="234B3276"/>
    <w:rsid w:val="23603619"/>
    <w:rsid w:val="23626207"/>
    <w:rsid w:val="23773623"/>
    <w:rsid w:val="2377693D"/>
    <w:rsid w:val="239C0243"/>
    <w:rsid w:val="239F724D"/>
    <w:rsid w:val="23A14082"/>
    <w:rsid w:val="23AB1721"/>
    <w:rsid w:val="23BD1C54"/>
    <w:rsid w:val="23D90902"/>
    <w:rsid w:val="23DA1C5E"/>
    <w:rsid w:val="23EF0BE1"/>
    <w:rsid w:val="23FA709A"/>
    <w:rsid w:val="24002E5E"/>
    <w:rsid w:val="24232DE5"/>
    <w:rsid w:val="244A408C"/>
    <w:rsid w:val="245A6743"/>
    <w:rsid w:val="246A08B9"/>
    <w:rsid w:val="24754B15"/>
    <w:rsid w:val="247F64CC"/>
    <w:rsid w:val="248D420D"/>
    <w:rsid w:val="24921B27"/>
    <w:rsid w:val="24A0121D"/>
    <w:rsid w:val="24B0652D"/>
    <w:rsid w:val="24B97631"/>
    <w:rsid w:val="24C90419"/>
    <w:rsid w:val="24D24D56"/>
    <w:rsid w:val="24E32289"/>
    <w:rsid w:val="24ED1C1E"/>
    <w:rsid w:val="24F0284D"/>
    <w:rsid w:val="24F039A5"/>
    <w:rsid w:val="250E20E4"/>
    <w:rsid w:val="25202C91"/>
    <w:rsid w:val="252331A5"/>
    <w:rsid w:val="252733A0"/>
    <w:rsid w:val="253B3A36"/>
    <w:rsid w:val="25425A19"/>
    <w:rsid w:val="25490B3E"/>
    <w:rsid w:val="256F1A53"/>
    <w:rsid w:val="258B2F2B"/>
    <w:rsid w:val="258B31A0"/>
    <w:rsid w:val="25AB3D1C"/>
    <w:rsid w:val="25CB7FC0"/>
    <w:rsid w:val="25D90A1B"/>
    <w:rsid w:val="25DC0129"/>
    <w:rsid w:val="25E22192"/>
    <w:rsid w:val="25F332FF"/>
    <w:rsid w:val="25FE37D6"/>
    <w:rsid w:val="26274BB6"/>
    <w:rsid w:val="26356536"/>
    <w:rsid w:val="266853CB"/>
    <w:rsid w:val="268B243A"/>
    <w:rsid w:val="269C627F"/>
    <w:rsid w:val="26AA20D3"/>
    <w:rsid w:val="26AA327D"/>
    <w:rsid w:val="26AA349C"/>
    <w:rsid w:val="26B43DCE"/>
    <w:rsid w:val="26C705B0"/>
    <w:rsid w:val="26CB5833"/>
    <w:rsid w:val="26D251BE"/>
    <w:rsid w:val="26DD3B73"/>
    <w:rsid w:val="26E444A5"/>
    <w:rsid w:val="26E576C7"/>
    <w:rsid w:val="26F04260"/>
    <w:rsid w:val="26F81EB4"/>
    <w:rsid w:val="26FB2F1B"/>
    <w:rsid w:val="272D45D3"/>
    <w:rsid w:val="27310A5B"/>
    <w:rsid w:val="27310B9A"/>
    <w:rsid w:val="273E1C11"/>
    <w:rsid w:val="275265C3"/>
    <w:rsid w:val="276B112C"/>
    <w:rsid w:val="27815619"/>
    <w:rsid w:val="279E2679"/>
    <w:rsid w:val="279F554C"/>
    <w:rsid w:val="27C25618"/>
    <w:rsid w:val="27D65541"/>
    <w:rsid w:val="27E50C24"/>
    <w:rsid w:val="27EC5FCE"/>
    <w:rsid w:val="28183270"/>
    <w:rsid w:val="281C0F13"/>
    <w:rsid w:val="285E7D99"/>
    <w:rsid w:val="286651CF"/>
    <w:rsid w:val="28671C46"/>
    <w:rsid w:val="28786555"/>
    <w:rsid w:val="2897657D"/>
    <w:rsid w:val="28AB19F4"/>
    <w:rsid w:val="28BD5FE3"/>
    <w:rsid w:val="28D71E0B"/>
    <w:rsid w:val="28DC39BE"/>
    <w:rsid w:val="28DD5BCB"/>
    <w:rsid w:val="28E01F8A"/>
    <w:rsid w:val="28F045AC"/>
    <w:rsid w:val="291B318A"/>
    <w:rsid w:val="291D583E"/>
    <w:rsid w:val="293723B4"/>
    <w:rsid w:val="29602BC4"/>
    <w:rsid w:val="299629CF"/>
    <w:rsid w:val="299760C7"/>
    <w:rsid w:val="2999350D"/>
    <w:rsid w:val="299E7E78"/>
    <w:rsid w:val="29A604F9"/>
    <w:rsid w:val="29B759BC"/>
    <w:rsid w:val="29C00DB7"/>
    <w:rsid w:val="29D60A95"/>
    <w:rsid w:val="29D94FA1"/>
    <w:rsid w:val="29E31604"/>
    <w:rsid w:val="29F87E04"/>
    <w:rsid w:val="29F93602"/>
    <w:rsid w:val="2A1A7BC7"/>
    <w:rsid w:val="2A1E01A9"/>
    <w:rsid w:val="2A2D73EC"/>
    <w:rsid w:val="2A2E4CEB"/>
    <w:rsid w:val="2A3B565F"/>
    <w:rsid w:val="2A5D0C96"/>
    <w:rsid w:val="2A653259"/>
    <w:rsid w:val="2A8F4841"/>
    <w:rsid w:val="2AA270FE"/>
    <w:rsid w:val="2AA369DD"/>
    <w:rsid w:val="2AD06022"/>
    <w:rsid w:val="2AD63975"/>
    <w:rsid w:val="2ADD1B0D"/>
    <w:rsid w:val="2AEC47FC"/>
    <w:rsid w:val="2AF1331E"/>
    <w:rsid w:val="2AF81BE3"/>
    <w:rsid w:val="2AFF23A5"/>
    <w:rsid w:val="2B176F87"/>
    <w:rsid w:val="2B361003"/>
    <w:rsid w:val="2B3762A6"/>
    <w:rsid w:val="2B3C6641"/>
    <w:rsid w:val="2B4A27A4"/>
    <w:rsid w:val="2B5B0F6E"/>
    <w:rsid w:val="2B925FDF"/>
    <w:rsid w:val="2B9970F1"/>
    <w:rsid w:val="2BB74A47"/>
    <w:rsid w:val="2BE501C7"/>
    <w:rsid w:val="2BED2E55"/>
    <w:rsid w:val="2C1738CF"/>
    <w:rsid w:val="2C1945D8"/>
    <w:rsid w:val="2C4E7E38"/>
    <w:rsid w:val="2C6C7918"/>
    <w:rsid w:val="2C783906"/>
    <w:rsid w:val="2C9E472D"/>
    <w:rsid w:val="2CB5787B"/>
    <w:rsid w:val="2CCA4381"/>
    <w:rsid w:val="2CD30F03"/>
    <w:rsid w:val="2CD66FAA"/>
    <w:rsid w:val="2CEA4162"/>
    <w:rsid w:val="2CF249BE"/>
    <w:rsid w:val="2CFC1554"/>
    <w:rsid w:val="2CFF3512"/>
    <w:rsid w:val="2D0333E4"/>
    <w:rsid w:val="2D0B7148"/>
    <w:rsid w:val="2D17770B"/>
    <w:rsid w:val="2D354DCA"/>
    <w:rsid w:val="2D3E7D46"/>
    <w:rsid w:val="2D6E6943"/>
    <w:rsid w:val="2D7E4AF7"/>
    <w:rsid w:val="2D8519AC"/>
    <w:rsid w:val="2D87777E"/>
    <w:rsid w:val="2D8E349F"/>
    <w:rsid w:val="2D9469E6"/>
    <w:rsid w:val="2D9D7A77"/>
    <w:rsid w:val="2DAF78FF"/>
    <w:rsid w:val="2DD93F77"/>
    <w:rsid w:val="2DDC694B"/>
    <w:rsid w:val="2DDE7A41"/>
    <w:rsid w:val="2DEF20F0"/>
    <w:rsid w:val="2E041306"/>
    <w:rsid w:val="2E06778F"/>
    <w:rsid w:val="2E106E4C"/>
    <w:rsid w:val="2E4C211D"/>
    <w:rsid w:val="2E4D7F49"/>
    <w:rsid w:val="2E4E05E7"/>
    <w:rsid w:val="2E4E1129"/>
    <w:rsid w:val="2E5B5EA2"/>
    <w:rsid w:val="2E6446EB"/>
    <w:rsid w:val="2E6B07B8"/>
    <w:rsid w:val="2E7F0E61"/>
    <w:rsid w:val="2E7F686F"/>
    <w:rsid w:val="2E870765"/>
    <w:rsid w:val="2E8D0791"/>
    <w:rsid w:val="2E9B39A1"/>
    <w:rsid w:val="2EDD3F6F"/>
    <w:rsid w:val="2F047EE8"/>
    <w:rsid w:val="2F085C75"/>
    <w:rsid w:val="2F2B12A9"/>
    <w:rsid w:val="2F3C4BFB"/>
    <w:rsid w:val="2F471420"/>
    <w:rsid w:val="2F626907"/>
    <w:rsid w:val="2F6B4720"/>
    <w:rsid w:val="2F956224"/>
    <w:rsid w:val="2FA23A7C"/>
    <w:rsid w:val="2FA30525"/>
    <w:rsid w:val="2FB449B9"/>
    <w:rsid w:val="2FC73BC7"/>
    <w:rsid w:val="2FD33F66"/>
    <w:rsid w:val="2FD408E0"/>
    <w:rsid w:val="2FE311E4"/>
    <w:rsid w:val="2FF608DC"/>
    <w:rsid w:val="2FF71222"/>
    <w:rsid w:val="2FFD3FAC"/>
    <w:rsid w:val="3004586C"/>
    <w:rsid w:val="300B6218"/>
    <w:rsid w:val="30160ACC"/>
    <w:rsid w:val="302651B2"/>
    <w:rsid w:val="3045081F"/>
    <w:rsid w:val="305D69EA"/>
    <w:rsid w:val="306825DD"/>
    <w:rsid w:val="30834BF9"/>
    <w:rsid w:val="308974AE"/>
    <w:rsid w:val="30944718"/>
    <w:rsid w:val="30C01078"/>
    <w:rsid w:val="30CF0FD9"/>
    <w:rsid w:val="30CF5A24"/>
    <w:rsid w:val="30E42C41"/>
    <w:rsid w:val="30F34FAE"/>
    <w:rsid w:val="3133127A"/>
    <w:rsid w:val="31353CD7"/>
    <w:rsid w:val="313E620E"/>
    <w:rsid w:val="313E6CDE"/>
    <w:rsid w:val="313F3759"/>
    <w:rsid w:val="31727F68"/>
    <w:rsid w:val="317662E9"/>
    <w:rsid w:val="31954796"/>
    <w:rsid w:val="31962DAE"/>
    <w:rsid w:val="319F0073"/>
    <w:rsid w:val="31B9498A"/>
    <w:rsid w:val="31CE7B45"/>
    <w:rsid w:val="31DD48DC"/>
    <w:rsid w:val="31E60453"/>
    <w:rsid w:val="32044DED"/>
    <w:rsid w:val="320C562E"/>
    <w:rsid w:val="3215767E"/>
    <w:rsid w:val="323F70E3"/>
    <w:rsid w:val="324B22D2"/>
    <w:rsid w:val="32575E9A"/>
    <w:rsid w:val="325C3AF5"/>
    <w:rsid w:val="3262622A"/>
    <w:rsid w:val="327A0FE8"/>
    <w:rsid w:val="329F684F"/>
    <w:rsid w:val="32B26B6D"/>
    <w:rsid w:val="32C92CF9"/>
    <w:rsid w:val="32CC0FF0"/>
    <w:rsid w:val="32DF7982"/>
    <w:rsid w:val="32F96ACA"/>
    <w:rsid w:val="330258B3"/>
    <w:rsid w:val="33054642"/>
    <w:rsid w:val="33106E3B"/>
    <w:rsid w:val="332F0A06"/>
    <w:rsid w:val="33301D0B"/>
    <w:rsid w:val="333E4968"/>
    <w:rsid w:val="336114D2"/>
    <w:rsid w:val="337E28B4"/>
    <w:rsid w:val="338A0241"/>
    <w:rsid w:val="33951969"/>
    <w:rsid w:val="339B5E01"/>
    <w:rsid w:val="33A23634"/>
    <w:rsid w:val="33A31D7A"/>
    <w:rsid w:val="33A6539B"/>
    <w:rsid w:val="33D163EF"/>
    <w:rsid w:val="33D45DFD"/>
    <w:rsid w:val="33E605A3"/>
    <w:rsid w:val="33E706E6"/>
    <w:rsid w:val="33F14703"/>
    <w:rsid w:val="33F7797D"/>
    <w:rsid w:val="3406027F"/>
    <w:rsid w:val="343E4026"/>
    <w:rsid w:val="345B2367"/>
    <w:rsid w:val="34841338"/>
    <w:rsid w:val="348B5095"/>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7D57"/>
    <w:rsid w:val="35356F10"/>
    <w:rsid w:val="354840CB"/>
    <w:rsid w:val="355C013C"/>
    <w:rsid w:val="3565420B"/>
    <w:rsid w:val="356A5BBA"/>
    <w:rsid w:val="356A601B"/>
    <w:rsid w:val="35825C91"/>
    <w:rsid w:val="3583595D"/>
    <w:rsid w:val="35841013"/>
    <w:rsid w:val="358B79C9"/>
    <w:rsid w:val="35934427"/>
    <w:rsid w:val="359A00B9"/>
    <w:rsid w:val="35C72C49"/>
    <w:rsid w:val="35F853BB"/>
    <w:rsid w:val="35FB1676"/>
    <w:rsid w:val="361526DE"/>
    <w:rsid w:val="36225127"/>
    <w:rsid w:val="36237E20"/>
    <w:rsid w:val="362551E1"/>
    <w:rsid w:val="36286678"/>
    <w:rsid w:val="363803C7"/>
    <w:rsid w:val="367620D2"/>
    <w:rsid w:val="3689139F"/>
    <w:rsid w:val="369608CE"/>
    <w:rsid w:val="369B2954"/>
    <w:rsid w:val="36A30297"/>
    <w:rsid w:val="36C1037B"/>
    <w:rsid w:val="36D067A6"/>
    <w:rsid w:val="36D4011D"/>
    <w:rsid w:val="36E865A3"/>
    <w:rsid w:val="37070D11"/>
    <w:rsid w:val="37201F64"/>
    <w:rsid w:val="373F53DD"/>
    <w:rsid w:val="374C04C6"/>
    <w:rsid w:val="375948AC"/>
    <w:rsid w:val="376B28D6"/>
    <w:rsid w:val="376C0D7B"/>
    <w:rsid w:val="376C5D00"/>
    <w:rsid w:val="376E276D"/>
    <w:rsid w:val="37A04E93"/>
    <w:rsid w:val="37D22ED3"/>
    <w:rsid w:val="37EA0A17"/>
    <w:rsid w:val="380A7603"/>
    <w:rsid w:val="380B0BB2"/>
    <w:rsid w:val="380D32F1"/>
    <w:rsid w:val="380D5D0D"/>
    <w:rsid w:val="382F2C1E"/>
    <w:rsid w:val="3871463E"/>
    <w:rsid w:val="38716CD9"/>
    <w:rsid w:val="38801C6C"/>
    <w:rsid w:val="38851608"/>
    <w:rsid w:val="389F2071"/>
    <w:rsid w:val="38A45712"/>
    <w:rsid w:val="38A47DD9"/>
    <w:rsid w:val="38B04451"/>
    <w:rsid w:val="38CC35B4"/>
    <w:rsid w:val="38D10166"/>
    <w:rsid w:val="39207FD2"/>
    <w:rsid w:val="392E645D"/>
    <w:rsid w:val="3933207C"/>
    <w:rsid w:val="39341BE2"/>
    <w:rsid w:val="393947EE"/>
    <w:rsid w:val="394B37F2"/>
    <w:rsid w:val="39532C2F"/>
    <w:rsid w:val="39756BD2"/>
    <w:rsid w:val="39985F30"/>
    <w:rsid w:val="39D3500A"/>
    <w:rsid w:val="39D620EE"/>
    <w:rsid w:val="39D96419"/>
    <w:rsid w:val="39E55169"/>
    <w:rsid w:val="39E84553"/>
    <w:rsid w:val="39F4018B"/>
    <w:rsid w:val="39F72E22"/>
    <w:rsid w:val="3A094E52"/>
    <w:rsid w:val="3A174971"/>
    <w:rsid w:val="3A273045"/>
    <w:rsid w:val="3A351385"/>
    <w:rsid w:val="3A3E4729"/>
    <w:rsid w:val="3A675D63"/>
    <w:rsid w:val="3A8C1EFF"/>
    <w:rsid w:val="3A9F7948"/>
    <w:rsid w:val="3AA02CE4"/>
    <w:rsid w:val="3AA628ED"/>
    <w:rsid w:val="3AAC6356"/>
    <w:rsid w:val="3AAF0D0B"/>
    <w:rsid w:val="3AB23C38"/>
    <w:rsid w:val="3AB704E3"/>
    <w:rsid w:val="3ABA4B72"/>
    <w:rsid w:val="3AC76FD5"/>
    <w:rsid w:val="3ACE1617"/>
    <w:rsid w:val="3AD31906"/>
    <w:rsid w:val="3AD8364A"/>
    <w:rsid w:val="3AD969F8"/>
    <w:rsid w:val="3AFD1BC4"/>
    <w:rsid w:val="3B011CBF"/>
    <w:rsid w:val="3B47510C"/>
    <w:rsid w:val="3B4C622A"/>
    <w:rsid w:val="3B634927"/>
    <w:rsid w:val="3B7F36AC"/>
    <w:rsid w:val="3B822235"/>
    <w:rsid w:val="3B861D2E"/>
    <w:rsid w:val="3B937808"/>
    <w:rsid w:val="3BC25680"/>
    <w:rsid w:val="3BD653F5"/>
    <w:rsid w:val="3BE16ECF"/>
    <w:rsid w:val="3BED0FCA"/>
    <w:rsid w:val="3C211965"/>
    <w:rsid w:val="3C226C56"/>
    <w:rsid w:val="3C4B0ED5"/>
    <w:rsid w:val="3C6C2EB8"/>
    <w:rsid w:val="3CA91418"/>
    <w:rsid w:val="3CAD34C9"/>
    <w:rsid w:val="3CBC1B56"/>
    <w:rsid w:val="3CBD75BF"/>
    <w:rsid w:val="3CC33BCC"/>
    <w:rsid w:val="3CD641A1"/>
    <w:rsid w:val="3CE2490A"/>
    <w:rsid w:val="3CEA648A"/>
    <w:rsid w:val="3D093637"/>
    <w:rsid w:val="3D1502D9"/>
    <w:rsid w:val="3D30516B"/>
    <w:rsid w:val="3D390582"/>
    <w:rsid w:val="3D3F406A"/>
    <w:rsid w:val="3D555673"/>
    <w:rsid w:val="3D5657CC"/>
    <w:rsid w:val="3D5D2E26"/>
    <w:rsid w:val="3D876DDA"/>
    <w:rsid w:val="3D8C35CB"/>
    <w:rsid w:val="3D8E5ECA"/>
    <w:rsid w:val="3DA6750A"/>
    <w:rsid w:val="3DB21166"/>
    <w:rsid w:val="3DB52FFB"/>
    <w:rsid w:val="3DB932B8"/>
    <w:rsid w:val="3DCE5EF9"/>
    <w:rsid w:val="3DDF3C84"/>
    <w:rsid w:val="3DF17D30"/>
    <w:rsid w:val="3DF55B8D"/>
    <w:rsid w:val="3DF740D2"/>
    <w:rsid w:val="3E2942BE"/>
    <w:rsid w:val="3E300439"/>
    <w:rsid w:val="3E320B89"/>
    <w:rsid w:val="3E3906BC"/>
    <w:rsid w:val="3E462526"/>
    <w:rsid w:val="3E5648B2"/>
    <w:rsid w:val="3E5709F3"/>
    <w:rsid w:val="3E667CEF"/>
    <w:rsid w:val="3E684241"/>
    <w:rsid w:val="3E75521D"/>
    <w:rsid w:val="3E83245B"/>
    <w:rsid w:val="3E8412E9"/>
    <w:rsid w:val="3E9328AF"/>
    <w:rsid w:val="3EBC27E6"/>
    <w:rsid w:val="3EDC10D0"/>
    <w:rsid w:val="3EE10368"/>
    <w:rsid w:val="3EEE2BBE"/>
    <w:rsid w:val="3EF13BC7"/>
    <w:rsid w:val="3EF53D00"/>
    <w:rsid w:val="3EF94FFC"/>
    <w:rsid w:val="3F0C4369"/>
    <w:rsid w:val="3F2F53AA"/>
    <w:rsid w:val="3F493F5C"/>
    <w:rsid w:val="3F536673"/>
    <w:rsid w:val="3F5A79F3"/>
    <w:rsid w:val="3F5D2E4D"/>
    <w:rsid w:val="3F5F1F5C"/>
    <w:rsid w:val="3F6A5EE0"/>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AA46A6"/>
    <w:rsid w:val="40B6211F"/>
    <w:rsid w:val="40C2573C"/>
    <w:rsid w:val="40D01BF9"/>
    <w:rsid w:val="40D34024"/>
    <w:rsid w:val="40D43BA0"/>
    <w:rsid w:val="40E241CE"/>
    <w:rsid w:val="40EA78D7"/>
    <w:rsid w:val="40EC35D0"/>
    <w:rsid w:val="40EC510F"/>
    <w:rsid w:val="40EF5D43"/>
    <w:rsid w:val="412912D7"/>
    <w:rsid w:val="41366B89"/>
    <w:rsid w:val="41643D6B"/>
    <w:rsid w:val="41771599"/>
    <w:rsid w:val="418E52EE"/>
    <w:rsid w:val="41A04E11"/>
    <w:rsid w:val="41DB0F0D"/>
    <w:rsid w:val="41F029FA"/>
    <w:rsid w:val="420558C2"/>
    <w:rsid w:val="42057B28"/>
    <w:rsid w:val="420874B4"/>
    <w:rsid w:val="421052B2"/>
    <w:rsid w:val="42190CC2"/>
    <w:rsid w:val="422F36E3"/>
    <w:rsid w:val="42407C97"/>
    <w:rsid w:val="42491125"/>
    <w:rsid w:val="427A44C2"/>
    <w:rsid w:val="42880654"/>
    <w:rsid w:val="428D14EF"/>
    <w:rsid w:val="4296187E"/>
    <w:rsid w:val="429B2F25"/>
    <w:rsid w:val="429B4AA7"/>
    <w:rsid w:val="42A65AF0"/>
    <w:rsid w:val="42AD56C6"/>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A16902"/>
    <w:rsid w:val="43BD5DE5"/>
    <w:rsid w:val="43CC2FC9"/>
    <w:rsid w:val="43D65E39"/>
    <w:rsid w:val="43D6606E"/>
    <w:rsid w:val="43E63B73"/>
    <w:rsid w:val="43FE3B45"/>
    <w:rsid w:val="441111D7"/>
    <w:rsid w:val="442D64E6"/>
    <w:rsid w:val="443B3A4C"/>
    <w:rsid w:val="444B0AC4"/>
    <w:rsid w:val="444C64B0"/>
    <w:rsid w:val="444D54BA"/>
    <w:rsid w:val="44742FDB"/>
    <w:rsid w:val="447636BF"/>
    <w:rsid w:val="44951997"/>
    <w:rsid w:val="449D508C"/>
    <w:rsid w:val="44B15AF7"/>
    <w:rsid w:val="44B36E39"/>
    <w:rsid w:val="44DC2E06"/>
    <w:rsid w:val="44EC7013"/>
    <w:rsid w:val="44F02519"/>
    <w:rsid w:val="44FB3AE3"/>
    <w:rsid w:val="44FF3C64"/>
    <w:rsid w:val="45061393"/>
    <w:rsid w:val="45427AA4"/>
    <w:rsid w:val="45515DC5"/>
    <w:rsid w:val="455454A2"/>
    <w:rsid w:val="45564CA5"/>
    <w:rsid w:val="455B6233"/>
    <w:rsid w:val="456A6A48"/>
    <w:rsid w:val="457C3D14"/>
    <w:rsid w:val="45865E2C"/>
    <w:rsid w:val="45911A43"/>
    <w:rsid w:val="45A16423"/>
    <w:rsid w:val="45A24E61"/>
    <w:rsid w:val="45B457B5"/>
    <w:rsid w:val="45C63F33"/>
    <w:rsid w:val="45C849A3"/>
    <w:rsid w:val="45DA1DB7"/>
    <w:rsid w:val="45DE2657"/>
    <w:rsid w:val="45F10EC5"/>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F03580"/>
    <w:rsid w:val="46F51A7F"/>
    <w:rsid w:val="47140188"/>
    <w:rsid w:val="4714637D"/>
    <w:rsid w:val="4718310F"/>
    <w:rsid w:val="472033C0"/>
    <w:rsid w:val="47280D0D"/>
    <w:rsid w:val="47424AC3"/>
    <w:rsid w:val="47581629"/>
    <w:rsid w:val="476B7898"/>
    <w:rsid w:val="47700B34"/>
    <w:rsid w:val="477A6B40"/>
    <w:rsid w:val="47974276"/>
    <w:rsid w:val="479C078C"/>
    <w:rsid w:val="47B32E9C"/>
    <w:rsid w:val="47B922BA"/>
    <w:rsid w:val="47ED7291"/>
    <w:rsid w:val="47F46C1C"/>
    <w:rsid w:val="48072039"/>
    <w:rsid w:val="480B19F6"/>
    <w:rsid w:val="480E7E09"/>
    <w:rsid w:val="481D675B"/>
    <w:rsid w:val="48212AE9"/>
    <w:rsid w:val="48281A14"/>
    <w:rsid w:val="484D05AF"/>
    <w:rsid w:val="486C4CE7"/>
    <w:rsid w:val="487216E8"/>
    <w:rsid w:val="489713C3"/>
    <w:rsid w:val="48A262B1"/>
    <w:rsid w:val="48A61EC2"/>
    <w:rsid w:val="48BA3284"/>
    <w:rsid w:val="48CB1CC0"/>
    <w:rsid w:val="48E66D59"/>
    <w:rsid w:val="49013C23"/>
    <w:rsid w:val="490A52ED"/>
    <w:rsid w:val="490C3583"/>
    <w:rsid w:val="49163580"/>
    <w:rsid w:val="491E6E1E"/>
    <w:rsid w:val="491F7F64"/>
    <w:rsid w:val="492A1BD4"/>
    <w:rsid w:val="49582843"/>
    <w:rsid w:val="49733467"/>
    <w:rsid w:val="49A418F2"/>
    <w:rsid w:val="49AD5BED"/>
    <w:rsid w:val="49BE170B"/>
    <w:rsid w:val="49C8100A"/>
    <w:rsid w:val="49FD4166"/>
    <w:rsid w:val="49FF2037"/>
    <w:rsid w:val="4A0A7F62"/>
    <w:rsid w:val="4A1D00AC"/>
    <w:rsid w:val="4A270A04"/>
    <w:rsid w:val="4A36625B"/>
    <w:rsid w:val="4A414188"/>
    <w:rsid w:val="4A47591B"/>
    <w:rsid w:val="4A4C4C82"/>
    <w:rsid w:val="4A6F608D"/>
    <w:rsid w:val="4A767F31"/>
    <w:rsid w:val="4A885CE1"/>
    <w:rsid w:val="4A9452E5"/>
    <w:rsid w:val="4A9F2D3A"/>
    <w:rsid w:val="4ABA66FB"/>
    <w:rsid w:val="4ABE4F66"/>
    <w:rsid w:val="4ABF0894"/>
    <w:rsid w:val="4ACC37A5"/>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693CDC"/>
    <w:rsid w:val="4B6F57B6"/>
    <w:rsid w:val="4BB31E0A"/>
    <w:rsid w:val="4BC60804"/>
    <w:rsid w:val="4BC74E08"/>
    <w:rsid w:val="4BCF4885"/>
    <w:rsid w:val="4BD07997"/>
    <w:rsid w:val="4BDF3E16"/>
    <w:rsid w:val="4BF722AF"/>
    <w:rsid w:val="4C1003D8"/>
    <w:rsid w:val="4C1705E5"/>
    <w:rsid w:val="4C203473"/>
    <w:rsid w:val="4C2F2351"/>
    <w:rsid w:val="4C352DA8"/>
    <w:rsid w:val="4C366477"/>
    <w:rsid w:val="4C381F65"/>
    <w:rsid w:val="4C6E6BF7"/>
    <w:rsid w:val="4C6F66E5"/>
    <w:rsid w:val="4C786851"/>
    <w:rsid w:val="4C942881"/>
    <w:rsid w:val="4CAF266F"/>
    <w:rsid w:val="4CB229E2"/>
    <w:rsid w:val="4CC13ECD"/>
    <w:rsid w:val="4CD020F9"/>
    <w:rsid w:val="4D0B17EF"/>
    <w:rsid w:val="4D0E4802"/>
    <w:rsid w:val="4D2F7723"/>
    <w:rsid w:val="4D406BD1"/>
    <w:rsid w:val="4D5047B5"/>
    <w:rsid w:val="4D576F61"/>
    <w:rsid w:val="4D605A45"/>
    <w:rsid w:val="4D76573F"/>
    <w:rsid w:val="4D7E6C33"/>
    <w:rsid w:val="4D831E51"/>
    <w:rsid w:val="4D942472"/>
    <w:rsid w:val="4DA44E4F"/>
    <w:rsid w:val="4DAA4C62"/>
    <w:rsid w:val="4DAD5FAE"/>
    <w:rsid w:val="4DCE74AD"/>
    <w:rsid w:val="4DF521AC"/>
    <w:rsid w:val="4E0A2800"/>
    <w:rsid w:val="4E0D58C8"/>
    <w:rsid w:val="4E154828"/>
    <w:rsid w:val="4E222649"/>
    <w:rsid w:val="4E244D2D"/>
    <w:rsid w:val="4E5079C5"/>
    <w:rsid w:val="4E623BD3"/>
    <w:rsid w:val="4E7906E7"/>
    <w:rsid w:val="4E837C45"/>
    <w:rsid w:val="4E993495"/>
    <w:rsid w:val="4EA30D9D"/>
    <w:rsid w:val="4EA31AE4"/>
    <w:rsid w:val="4EB2058C"/>
    <w:rsid w:val="4EB60C48"/>
    <w:rsid w:val="4EDE147E"/>
    <w:rsid w:val="4EEA3967"/>
    <w:rsid w:val="4EEF1B44"/>
    <w:rsid w:val="4F0A27C3"/>
    <w:rsid w:val="4F0F005F"/>
    <w:rsid w:val="4F165D52"/>
    <w:rsid w:val="4F190BD2"/>
    <w:rsid w:val="4F1D369F"/>
    <w:rsid w:val="4F213A90"/>
    <w:rsid w:val="4F290247"/>
    <w:rsid w:val="4F323CD2"/>
    <w:rsid w:val="4F332C0A"/>
    <w:rsid w:val="4F433DC8"/>
    <w:rsid w:val="4F4B51A5"/>
    <w:rsid w:val="4F545D86"/>
    <w:rsid w:val="4F896D46"/>
    <w:rsid w:val="4F974D24"/>
    <w:rsid w:val="4FA14EEC"/>
    <w:rsid w:val="4FA84227"/>
    <w:rsid w:val="4FC231DA"/>
    <w:rsid w:val="4FE223EE"/>
    <w:rsid w:val="4FE3097A"/>
    <w:rsid w:val="4FFD3A77"/>
    <w:rsid w:val="501F59A7"/>
    <w:rsid w:val="503642D7"/>
    <w:rsid w:val="503D3F59"/>
    <w:rsid w:val="504C7CCA"/>
    <w:rsid w:val="50650862"/>
    <w:rsid w:val="50681179"/>
    <w:rsid w:val="50812723"/>
    <w:rsid w:val="50864F3F"/>
    <w:rsid w:val="5095674A"/>
    <w:rsid w:val="50A01EE7"/>
    <w:rsid w:val="50A070FC"/>
    <w:rsid w:val="50A6221C"/>
    <w:rsid w:val="50AC4C20"/>
    <w:rsid w:val="50B61B8B"/>
    <w:rsid w:val="50C13C5F"/>
    <w:rsid w:val="50C16C1C"/>
    <w:rsid w:val="50C577D9"/>
    <w:rsid w:val="50DD17B8"/>
    <w:rsid w:val="50E00158"/>
    <w:rsid w:val="50E8434B"/>
    <w:rsid w:val="50F0291C"/>
    <w:rsid w:val="50F5073D"/>
    <w:rsid w:val="51183F80"/>
    <w:rsid w:val="51286AE9"/>
    <w:rsid w:val="512B131B"/>
    <w:rsid w:val="514946EA"/>
    <w:rsid w:val="515B2086"/>
    <w:rsid w:val="516C5BB7"/>
    <w:rsid w:val="51881606"/>
    <w:rsid w:val="518E2820"/>
    <w:rsid w:val="51AC5137"/>
    <w:rsid w:val="51B4195C"/>
    <w:rsid w:val="51B463DB"/>
    <w:rsid w:val="51C24E31"/>
    <w:rsid w:val="51C31254"/>
    <w:rsid w:val="51C979DD"/>
    <w:rsid w:val="51D20DCB"/>
    <w:rsid w:val="520A22AE"/>
    <w:rsid w:val="521974CD"/>
    <w:rsid w:val="522143CD"/>
    <w:rsid w:val="52247A0F"/>
    <w:rsid w:val="52385792"/>
    <w:rsid w:val="523D42DD"/>
    <w:rsid w:val="523F6AFF"/>
    <w:rsid w:val="524B2DC8"/>
    <w:rsid w:val="524F31BF"/>
    <w:rsid w:val="52514A0D"/>
    <w:rsid w:val="5273265C"/>
    <w:rsid w:val="527B5D61"/>
    <w:rsid w:val="52853336"/>
    <w:rsid w:val="52881D50"/>
    <w:rsid w:val="52991222"/>
    <w:rsid w:val="529B3EC4"/>
    <w:rsid w:val="529C6295"/>
    <w:rsid w:val="529C7876"/>
    <w:rsid w:val="52BC72D9"/>
    <w:rsid w:val="52DB19FD"/>
    <w:rsid w:val="52EE339D"/>
    <w:rsid w:val="530174D7"/>
    <w:rsid w:val="5306292A"/>
    <w:rsid w:val="530822C8"/>
    <w:rsid w:val="533E1E81"/>
    <w:rsid w:val="53445C3B"/>
    <w:rsid w:val="534B7333"/>
    <w:rsid w:val="536F3F83"/>
    <w:rsid w:val="53703E8D"/>
    <w:rsid w:val="53707DDE"/>
    <w:rsid w:val="537E0058"/>
    <w:rsid w:val="53943296"/>
    <w:rsid w:val="53950AA6"/>
    <w:rsid w:val="53B2385F"/>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F77E0"/>
    <w:rsid w:val="54270E2A"/>
    <w:rsid w:val="543E515D"/>
    <w:rsid w:val="543F413B"/>
    <w:rsid w:val="5443534C"/>
    <w:rsid w:val="544B0D54"/>
    <w:rsid w:val="545114AC"/>
    <w:rsid w:val="54591CDE"/>
    <w:rsid w:val="545952F2"/>
    <w:rsid w:val="54625354"/>
    <w:rsid w:val="5469558C"/>
    <w:rsid w:val="54984A43"/>
    <w:rsid w:val="54B61E08"/>
    <w:rsid w:val="54C557E7"/>
    <w:rsid w:val="54C65EC0"/>
    <w:rsid w:val="54D43100"/>
    <w:rsid w:val="552760F6"/>
    <w:rsid w:val="552A09F4"/>
    <w:rsid w:val="5532296D"/>
    <w:rsid w:val="55452810"/>
    <w:rsid w:val="555154EE"/>
    <w:rsid w:val="558F4A1E"/>
    <w:rsid w:val="55942252"/>
    <w:rsid w:val="55987FBD"/>
    <w:rsid w:val="55B41C64"/>
    <w:rsid w:val="55E34DF9"/>
    <w:rsid w:val="55EC2897"/>
    <w:rsid w:val="55F0187C"/>
    <w:rsid w:val="55FA242D"/>
    <w:rsid w:val="5630640C"/>
    <w:rsid w:val="564B32E4"/>
    <w:rsid w:val="5652511E"/>
    <w:rsid w:val="5652573E"/>
    <w:rsid w:val="56543A0D"/>
    <w:rsid w:val="5658232F"/>
    <w:rsid w:val="56686EA1"/>
    <w:rsid w:val="566B50BC"/>
    <w:rsid w:val="56754367"/>
    <w:rsid w:val="56860213"/>
    <w:rsid w:val="569E1AC8"/>
    <w:rsid w:val="56A4132F"/>
    <w:rsid w:val="56AC279F"/>
    <w:rsid w:val="56AF2E6F"/>
    <w:rsid w:val="56BE671B"/>
    <w:rsid w:val="56D51F0A"/>
    <w:rsid w:val="56DF0963"/>
    <w:rsid w:val="56E00193"/>
    <w:rsid w:val="56E2575C"/>
    <w:rsid w:val="56F37D3E"/>
    <w:rsid w:val="56F473C0"/>
    <w:rsid w:val="56FD3D8C"/>
    <w:rsid w:val="57065F83"/>
    <w:rsid w:val="57097BE4"/>
    <w:rsid w:val="570B6550"/>
    <w:rsid w:val="570E1847"/>
    <w:rsid w:val="57196157"/>
    <w:rsid w:val="573434A1"/>
    <w:rsid w:val="57484C26"/>
    <w:rsid w:val="5758628A"/>
    <w:rsid w:val="57745BB6"/>
    <w:rsid w:val="57855787"/>
    <w:rsid w:val="578A1BF3"/>
    <w:rsid w:val="57B02739"/>
    <w:rsid w:val="57B439EF"/>
    <w:rsid w:val="57BD6C04"/>
    <w:rsid w:val="57C51573"/>
    <w:rsid w:val="57D6036B"/>
    <w:rsid w:val="57DE28CC"/>
    <w:rsid w:val="57FF606E"/>
    <w:rsid w:val="580032F4"/>
    <w:rsid w:val="580716CC"/>
    <w:rsid w:val="58220A26"/>
    <w:rsid w:val="58381DBD"/>
    <w:rsid w:val="58382405"/>
    <w:rsid w:val="58394C38"/>
    <w:rsid w:val="58423CCA"/>
    <w:rsid w:val="584B7C06"/>
    <w:rsid w:val="58510290"/>
    <w:rsid w:val="58553578"/>
    <w:rsid w:val="58553705"/>
    <w:rsid w:val="5855370B"/>
    <w:rsid w:val="58570D1A"/>
    <w:rsid w:val="58590F71"/>
    <w:rsid w:val="58A80E04"/>
    <w:rsid w:val="58B31DD9"/>
    <w:rsid w:val="58B91125"/>
    <w:rsid w:val="58BE2FA8"/>
    <w:rsid w:val="58C52932"/>
    <w:rsid w:val="58C64CF3"/>
    <w:rsid w:val="58CB3B78"/>
    <w:rsid w:val="58D21B64"/>
    <w:rsid w:val="590D2328"/>
    <w:rsid w:val="590F51DD"/>
    <w:rsid w:val="591E2294"/>
    <w:rsid w:val="59232C0B"/>
    <w:rsid w:val="593A62F9"/>
    <w:rsid w:val="594B4FD2"/>
    <w:rsid w:val="594D06B7"/>
    <w:rsid w:val="598A5B73"/>
    <w:rsid w:val="598D03EC"/>
    <w:rsid w:val="598D6E21"/>
    <w:rsid w:val="598D7696"/>
    <w:rsid w:val="599C0038"/>
    <w:rsid w:val="599F6487"/>
    <w:rsid w:val="59B377F3"/>
    <w:rsid w:val="59B6573E"/>
    <w:rsid w:val="59C43D4D"/>
    <w:rsid w:val="59C83A39"/>
    <w:rsid w:val="59FB18DA"/>
    <w:rsid w:val="5A160FDB"/>
    <w:rsid w:val="5A261DCD"/>
    <w:rsid w:val="5A361544"/>
    <w:rsid w:val="5A3F108A"/>
    <w:rsid w:val="5A5B363C"/>
    <w:rsid w:val="5A6D76C0"/>
    <w:rsid w:val="5A723A0D"/>
    <w:rsid w:val="5A762255"/>
    <w:rsid w:val="5A833B0D"/>
    <w:rsid w:val="5A9D621A"/>
    <w:rsid w:val="5AB17106"/>
    <w:rsid w:val="5AC219D6"/>
    <w:rsid w:val="5AC94301"/>
    <w:rsid w:val="5ACF40CD"/>
    <w:rsid w:val="5AE67733"/>
    <w:rsid w:val="5AFD3B96"/>
    <w:rsid w:val="5B0C640C"/>
    <w:rsid w:val="5B170C5D"/>
    <w:rsid w:val="5B2D305D"/>
    <w:rsid w:val="5B443E9C"/>
    <w:rsid w:val="5B4C1057"/>
    <w:rsid w:val="5B53327E"/>
    <w:rsid w:val="5B707739"/>
    <w:rsid w:val="5B7D7957"/>
    <w:rsid w:val="5B830BC2"/>
    <w:rsid w:val="5B956906"/>
    <w:rsid w:val="5B987E52"/>
    <w:rsid w:val="5BCE4EA4"/>
    <w:rsid w:val="5BD209C4"/>
    <w:rsid w:val="5BD637EC"/>
    <w:rsid w:val="5BDE5A43"/>
    <w:rsid w:val="5BE0323A"/>
    <w:rsid w:val="5C1A362B"/>
    <w:rsid w:val="5C1B7F5F"/>
    <w:rsid w:val="5C34166A"/>
    <w:rsid w:val="5C4A36B7"/>
    <w:rsid w:val="5C4E44D4"/>
    <w:rsid w:val="5C5552A6"/>
    <w:rsid w:val="5C7F58F3"/>
    <w:rsid w:val="5C80234E"/>
    <w:rsid w:val="5CC83DC7"/>
    <w:rsid w:val="5CD7479C"/>
    <w:rsid w:val="5CE536CF"/>
    <w:rsid w:val="5CE568F8"/>
    <w:rsid w:val="5CF33064"/>
    <w:rsid w:val="5D013D09"/>
    <w:rsid w:val="5D0576C4"/>
    <w:rsid w:val="5D203E5D"/>
    <w:rsid w:val="5D230368"/>
    <w:rsid w:val="5D255730"/>
    <w:rsid w:val="5D424AC5"/>
    <w:rsid w:val="5D5667E0"/>
    <w:rsid w:val="5D580881"/>
    <w:rsid w:val="5D6261CB"/>
    <w:rsid w:val="5DA13534"/>
    <w:rsid w:val="5DC9382F"/>
    <w:rsid w:val="5DCB56EC"/>
    <w:rsid w:val="5DD14279"/>
    <w:rsid w:val="5DE448D2"/>
    <w:rsid w:val="5DF441FF"/>
    <w:rsid w:val="5E1463C6"/>
    <w:rsid w:val="5E285722"/>
    <w:rsid w:val="5E3B4D31"/>
    <w:rsid w:val="5E3E65D1"/>
    <w:rsid w:val="5E4B7A1D"/>
    <w:rsid w:val="5E4D4830"/>
    <w:rsid w:val="5E4E1644"/>
    <w:rsid w:val="5E50050F"/>
    <w:rsid w:val="5E5D04EF"/>
    <w:rsid w:val="5E68591D"/>
    <w:rsid w:val="5E6F4AE3"/>
    <w:rsid w:val="5E731D18"/>
    <w:rsid w:val="5E736001"/>
    <w:rsid w:val="5E742249"/>
    <w:rsid w:val="5E986D1D"/>
    <w:rsid w:val="5E9E597C"/>
    <w:rsid w:val="5EA97C8F"/>
    <w:rsid w:val="5EE11EB8"/>
    <w:rsid w:val="5F0936DE"/>
    <w:rsid w:val="5F171517"/>
    <w:rsid w:val="5F250070"/>
    <w:rsid w:val="5F5B6A83"/>
    <w:rsid w:val="5F62295E"/>
    <w:rsid w:val="5F7D16C2"/>
    <w:rsid w:val="5F892553"/>
    <w:rsid w:val="5FAB77AE"/>
    <w:rsid w:val="5FB301BB"/>
    <w:rsid w:val="5FFA6139"/>
    <w:rsid w:val="5FFB5E88"/>
    <w:rsid w:val="600A6271"/>
    <w:rsid w:val="60357E4D"/>
    <w:rsid w:val="6046706E"/>
    <w:rsid w:val="60492B3E"/>
    <w:rsid w:val="60565E64"/>
    <w:rsid w:val="605E55CF"/>
    <w:rsid w:val="60747DCE"/>
    <w:rsid w:val="6089047C"/>
    <w:rsid w:val="608D4CE3"/>
    <w:rsid w:val="60A859A2"/>
    <w:rsid w:val="60AB29AA"/>
    <w:rsid w:val="60AC67BD"/>
    <w:rsid w:val="60AE372D"/>
    <w:rsid w:val="60C06489"/>
    <w:rsid w:val="60CE2A0E"/>
    <w:rsid w:val="61204933"/>
    <w:rsid w:val="612354B4"/>
    <w:rsid w:val="61351A56"/>
    <w:rsid w:val="613F62A8"/>
    <w:rsid w:val="61415F87"/>
    <w:rsid w:val="61561800"/>
    <w:rsid w:val="615A223E"/>
    <w:rsid w:val="615A4676"/>
    <w:rsid w:val="615B47A6"/>
    <w:rsid w:val="616435A6"/>
    <w:rsid w:val="619940E6"/>
    <w:rsid w:val="61A6014E"/>
    <w:rsid w:val="61B3236A"/>
    <w:rsid w:val="61D63921"/>
    <w:rsid w:val="61DB724C"/>
    <w:rsid w:val="61EE1B3B"/>
    <w:rsid w:val="61F439C5"/>
    <w:rsid w:val="61F443E9"/>
    <w:rsid w:val="62086520"/>
    <w:rsid w:val="62213533"/>
    <w:rsid w:val="62270D05"/>
    <w:rsid w:val="62297BF9"/>
    <w:rsid w:val="62461BF2"/>
    <w:rsid w:val="624F5302"/>
    <w:rsid w:val="62607426"/>
    <w:rsid w:val="626C2AFF"/>
    <w:rsid w:val="62762D19"/>
    <w:rsid w:val="62865532"/>
    <w:rsid w:val="62867444"/>
    <w:rsid w:val="629D7EE8"/>
    <w:rsid w:val="62A734E8"/>
    <w:rsid w:val="62AE7A21"/>
    <w:rsid w:val="62C73A65"/>
    <w:rsid w:val="62C7491F"/>
    <w:rsid w:val="62C906B0"/>
    <w:rsid w:val="62CD0ED6"/>
    <w:rsid w:val="62D50998"/>
    <w:rsid w:val="62D8753A"/>
    <w:rsid w:val="62E7507D"/>
    <w:rsid w:val="62F67597"/>
    <w:rsid w:val="630C34D0"/>
    <w:rsid w:val="631E48B7"/>
    <w:rsid w:val="6322080B"/>
    <w:rsid w:val="635F6BBD"/>
    <w:rsid w:val="63785DBF"/>
    <w:rsid w:val="638F7AFC"/>
    <w:rsid w:val="639215D8"/>
    <w:rsid w:val="63A36BE5"/>
    <w:rsid w:val="63C04B8A"/>
    <w:rsid w:val="63D42229"/>
    <w:rsid w:val="63D8474D"/>
    <w:rsid w:val="63DB746A"/>
    <w:rsid w:val="63E5033D"/>
    <w:rsid w:val="63EC46A4"/>
    <w:rsid w:val="63EE162B"/>
    <w:rsid w:val="63F75B8A"/>
    <w:rsid w:val="640310C7"/>
    <w:rsid w:val="64155C8D"/>
    <w:rsid w:val="641B0760"/>
    <w:rsid w:val="641E1DE4"/>
    <w:rsid w:val="64203CB4"/>
    <w:rsid w:val="64222857"/>
    <w:rsid w:val="642C6B67"/>
    <w:rsid w:val="64335EB1"/>
    <w:rsid w:val="64433CD0"/>
    <w:rsid w:val="64495F72"/>
    <w:rsid w:val="644B25BC"/>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B5075"/>
    <w:rsid w:val="65BC102A"/>
    <w:rsid w:val="65C76D0B"/>
    <w:rsid w:val="65CB5A52"/>
    <w:rsid w:val="65D23BC4"/>
    <w:rsid w:val="660B76A8"/>
    <w:rsid w:val="662861DC"/>
    <w:rsid w:val="66286B79"/>
    <w:rsid w:val="66306F43"/>
    <w:rsid w:val="66326E97"/>
    <w:rsid w:val="663F4723"/>
    <w:rsid w:val="664615E7"/>
    <w:rsid w:val="665265F4"/>
    <w:rsid w:val="665D487D"/>
    <w:rsid w:val="66943E18"/>
    <w:rsid w:val="6699652A"/>
    <w:rsid w:val="66A562F6"/>
    <w:rsid w:val="66A93110"/>
    <w:rsid w:val="66AC664F"/>
    <w:rsid w:val="66AF2B2C"/>
    <w:rsid w:val="66C83F2C"/>
    <w:rsid w:val="66EB1F18"/>
    <w:rsid w:val="66F0190D"/>
    <w:rsid w:val="67064E16"/>
    <w:rsid w:val="672833FF"/>
    <w:rsid w:val="67447CAA"/>
    <w:rsid w:val="67603184"/>
    <w:rsid w:val="676569B0"/>
    <w:rsid w:val="67662B31"/>
    <w:rsid w:val="676E53AF"/>
    <w:rsid w:val="6772565E"/>
    <w:rsid w:val="677C3451"/>
    <w:rsid w:val="679C72E6"/>
    <w:rsid w:val="679D7D9D"/>
    <w:rsid w:val="67A16316"/>
    <w:rsid w:val="67B52945"/>
    <w:rsid w:val="67B84A87"/>
    <w:rsid w:val="67D5396B"/>
    <w:rsid w:val="67E24A58"/>
    <w:rsid w:val="67E967D4"/>
    <w:rsid w:val="67EA1DE2"/>
    <w:rsid w:val="67F51F5D"/>
    <w:rsid w:val="67FB68A8"/>
    <w:rsid w:val="681C0F9C"/>
    <w:rsid w:val="68280A59"/>
    <w:rsid w:val="682E6A6C"/>
    <w:rsid w:val="6844471E"/>
    <w:rsid w:val="68446C9C"/>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C62E9A"/>
    <w:rsid w:val="69D9569F"/>
    <w:rsid w:val="69EC201D"/>
    <w:rsid w:val="69F076EC"/>
    <w:rsid w:val="6A0C4C59"/>
    <w:rsid w:val="6A0C7811"/>
    <w:rsid w:val="6A0E77F1"/>
    <w:rsid w:val="6A3001E9"/>
    <w:rsid w:val="6A4771FB"/>
    <w:rsid w:val="6A55161C"/>
    <w:rsid w:val="6A572BE8"/>
    <w:rsid w:val="6A65568E"/>
    <w:rsid w:val="6A6A6D65"/>
    <w:rsid w:val="6A8213EE"/>
    <w:rsid w:val="6A9553FE"/>
    <w:rsid w:val="6A9F48FD"/>
    <w:rsid w:val="6AC02AEF"/>
    <w:rsid w:val="6AC07030"/>
    <w:rsid w:val="6AC30E38"/>
    <w:rsid w:val="6AD0268E"/>
    <w:rsid w:val="6ADB66AC"/>
    <w:rsid w:val="6ADD74FD"/>
    <w:rsid w:val="6AF15601"/>
    <w:rsid w:val="6B3816B9"/>
    <w:rsid w:val="6B457289"/>
    <w:rsid w:val="6B570F9E"/>
    <w:rsid w:val="6B613AB3"/>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3B602B"/>
    <w:rsid w:val="6C3E480C"/>
    <w:rsid w:val="6C4A348A"/>
    <w:rsid w:val="6C4A4478"/>
    <w:rsid w:val="6C5002D5"/>
    <w:rsid w:val="6C69343B"/>
    <w:rsid w:val="6C737CFB"/>
    <w:rsid w:val="6C777224"/>
    <w:rsid w:val="6C83219C"/>
    <w:rsid w:val="6C833B41"/>
    <w:rsid w:val="6C9803A4"/>
    <w:rsid w:val="6CA405A4"/>
    <w:rsid w:val="6CD323B8"/>
    <w:rsid w:val="6CF33107"/>
    <w:rsid w:val="6D243939"/>
    <w:rsid w:val="6D2F5EB0"/>
    <w:rsid w:val="6D3125B4"/>
    <w:rsid w:val="6D447778"/>
    <w:rsid w:val="6D4A5F2F"/>
    <w:rsid w:val="6D5F7732"/>
    <w:rsid w:val="6D620170"/>
    <w:rsid w:val="6D777E6B"/>
    <w:rsid w:val="6D84645E"/>
    <w:rsid w:val="6D8F437E"/>
    <w:rsid w:val="6D990245"/>
    <w:rsid w:val="6D997573"/>
    <w:rsid w:val="6DA026C8"/>
    <w:rsid w:val="6DAC5479"/>
    <w:rsid w:val="6DB46943"/>
    <w:rsid w:val="6DC62455"/>
    <w:rsid w:val="6DE4394A"/>
    <w:rsid w:val="6DED7696"/>
    <w:rsid w:val="6E035FBA"/>
    <w:rsid w:val="6E123F60"/>
    <w:rsid w:val="6E2E7FD1"/>
    <w:rsid w:val="6E5231A4"/>
    <w:rsid w:val="6E5A40EE"/>
    <w:rsid w:val="6E671D27"/>
    <w:rsid w:val="6E78772A"/>
    <w:rsid w:val="6E7D48F4"/>
    <w:rsid w:val="6E842069"/>
    <w:rsid w:val="6E9C16AF"/>
    <w:rsid w:val="6E9D390D"/>
    <w:rsid w:val="6EAC20D1"/>
    <w:rsid w:val="6EE10B05"/>
    <w:rsid w:val="6F0472BB"/>
    <w:rsid w:val="6F1B6955"/>
    <w:rsid w:val="6F206808"/>
    <w:rsid w:val="6F322613"/>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E54985"/>
    <w:rsid w:val="6FEC7554"/>
    <w:rsid w:val="6FF1283A"/>
    <w:rsid w:val="700D5DEC"/>
    <w:rsid w:val="70563262"/>
    <w:rsid w:val="705873A3"/>
    <w:rsid w:val="709910D5"/>
    <w:rsid w:val="709C35CE"/>
    <w:rsid w:val="70B26D33"/>
    <w:rsid w:val="70B54946"/>
    <w:rsid w:val="70D216D3"/>
    <w:rsid w:val="70D9122B"/>
    <w:rsid w:val="71013AC4"/>
    <w:rsid w:val="71306040"/>
    <w:rsid w:val="71534AAE"/>
    <w:rsid w:val="71613AEC"/>
    <w:rsid w:val="716C54B9"/>
    <w:rsid w:val="717C638C"/>
    <w:rsid w:val="71896C8F"/>
    <w:rsid w:val="719B216D"/>
    <w:rsid w:val="71B752EE"/>
    <w:rsid w:val="71C66F16"/>
    <w:rsid w:val="71DB12A7"/>
    <w:rsid w:val="71E40223"/>
    <w:rsid w:val="72106F1F"/>
    <w:rsid w:val="722D57C7"/>
    <w:rsid w:val="723423C2"/>
    <w:rsid w:val="724062B5"/>
    <w:rsid w:val="724A0704"/>
    <w:rsid w:val="724F46F0"/>
    <w:rsid w:val="7255143F"/>
    <w:rsid w:val="726436E6"/>
    <w:rsid w:val="72700C83"/>
    <w:rsid w:val="727E6483"/>
    <w:rsid w:val="72843406"/>
    <w:rsid w:val="728453D5"/>
    <w:rsid w:val="72935827"/>
    <w:rsid w:val="729B79DD"/>
    <w:rsid w:val="72AC0DAF"/>
    <w:rsid w:val="72BB1BA7"/>
    <w:rsid w:val="72C773DB"/>
    <w:rsid w:val="72D051AC"/>
    <w:rsid w:val="72D05F60"/>
    <w:rsid w:val="72EB3D62"/>
    <w:rsid w:val="72ED426C"/>
    <w:rsid w:val="72F91A90"/>
    <w:rsid w:val="731C314C"/>
    <w:rsid w:val="73237AF4"/>
    <w:rsid w:val="732927A3"/>
    <w:rsid w:val="734333B2"/>
    <w:rsid w:val="73666CF1"/>
    <w:rsid w:val="7383558F"/>
    <w:rsid w:val="738B5FB1"/>
    <w:rsid w:val="73B02110"/>
    <w:rsid w:val="73CE0E30"/>
    <w:rsid w:val="73F95D4E"/>
    <w:rsid w:val="74044161"/>
    <w:rsid w:val="74194164"/>
    <w:rsid w:val="741C0ACA"/>
    <w:rsid w:val="742B0327"/>
    <w:rsid w:val="742D6B25"/>
    <w:rsid w:val="744446C4"/>
    <w:rsid w:val="74524A6C"/>
    <w:rsid w:val="745D46B6"/>
    <w:rsid w:val="74674908"/>
    <w:rsid w:val="747E2170"/>
    <w:rsid w:val="74994FF2"/>
    <w:rsid w:val="74A93ADB"/>
    <w:rsid w:val="74AB764B"/>
    <w:rsid w:val="74B86703"/>
    <w:rsid w:val="74BA0C6B"/>
    <w:rsid w:val="74BB501E"/>
    <w:rsid w:val="74EE31EA"/>
    <w:rsid w:val="74F039E8"/>
    <w:rsid w:val="74FA2880"/>
    <w:rsid w:val="75101C40"/>
    <w:rsid w:val="75225CBF"/>
    <w:rsid w:val="75350693"/>
    <w:rsid w:val="753B48E1"/>
    <w:rsid w:val="7546677D"/>
    <w:rsid w:val="754B2AC0"/>
    <w:rsid w:val="754D466C"/>
    <w:rsid w:val="754F4CC4"/>
    <w:rsid w:val="7554600D"/>
    <w:rsid w:val="756E0B0A"/>
    <w:rsid w:val="756F18B8"/>
    <w:rsid w:val="757031D9"/>
    <w:rsid w:val="75806983"/>
    <w:rsid w:val="75814167"/>
    <w:rsid w:val="75842DFC"/>
    <w:rsid w:val="758E0290"/>
    <w:rsid w:val="75A667A1"/>
    <w:rsid w:val="75B9416A"/>
    <w:rsid w:val="75BE0722"/>
    <w:rsid w:val="75C247F2"/>
    <w:rsid w:val="75CC7278"/>
    <w:rsid w:val="75CD7BB5"/>
    <w:rsid w:val="75D833A4"/>
    <w:rsid w:val="75F1698E"/>
    <w:rsid w:val="7616334A"/>
    <w:rsid w:val="762C54EE"/>
    <w:rsid w:val="76437D02"/>
    <w:rsid w:val="76442B95"/>
    <w:rsid w:val="765120A6"/>
    <w:rsid w:val="767F05D4"/>
    <w:rsid w:val="76A57736"/>
    <w:rsid w:val="76BF7D3D"/>
    <w:rsid w:val="76C52AEB"/>
    <w:rsid w:val="76D264D4"/>
    <w:rsid w:val="76D66A80"/>
    <w:rsid w:val="76E13C82"/>
    <w:rsid w:val="76E955C3"/>
    <w:rsid w:val="76FD43AC"/>
    <w:rsid w:val="77123ACC"/>
    <w:rsid w:val="77247924"/>
    <w:rsid w:val="772B1B20"/>
    <w:rsid w:val="77510935"/>
    <w:rsid w:val="77533C64"/>
    <w:rsid w:val="77634F3B"/>
    <w:rsid w:val="77691105"/>
    <w:rsid w:val="778A3EDB"/>
    <w:rsid w:val="778E76B4"/>
    <w:rsid w:val="77D36332"/>
    <w:rsid w:val="77D62A56"/>
    <w:rsid w:val="77D75529"/>
    <w:rsid w:val="77E52DB0"/>
    <w:rsid w:val="77E62733"/>
    <w:rsid w:val="77F84B71"/>
    <w:rsid w:val="780E1955"/>
    <w:rsid w:val="781A23A0"/>
    <w:rsid w:val="781C021C"/>
    <w:rsid w:val="78293DC3"/>
    <w:rsid w:val="782D2D9B"/>
    <w:rsid w:val="783A6B2F"/>
    <w:rsid w:val="783F4F70"/>
    <w:rsid w:val="78542BE7"/>
    <w:rsid w:val="785B4C20"/>
    <w:rsid w:val="785D218D"/>
    <w:rsid w:val="788B1B55"/>
    <w:rsid w:val="78AB03F5"/>
    <w:rsid w:val="78AB4E34"/>
    <w:rsid w:val="78B8567C"/>
    <w:rsid w:val="78F37C03"/>
    <w:rsid w:val="78F7615B"/>
    <w:rsid w:val="78FD2962"/>
    <w:rsid w:val="79157D37"/>
    <w:rsid w:val="792C013A"/>
    <w:rsid w:val="79307089"/>
    <w:rsid w:val="79373219"/>
    <w:rsid w:val="794A4288"/>
    <w:rsid w:val="794C7980"/>
    <w:rsid w:val="7954036F"/>
    <w:rsid w:val="7963139E"/>
    <w:rsid w:val="796A36B4"/>
    <w:rsid w:val="796F2A8D"/>
    <w:rsid w:val="797A39DC"/>
    <w:rsid w:val="798B23A6"/>
    <w:rsid w:val="79A04DFD"/>
    <w:rsid w:val="79A86542"/>
    <w:rsid w:val="79BE5E62"/>
    <w:rsid w:val="79D00261"/>
    <w:rsid w:val="79D72059"/>
    <w:rsid w:val="79D917F7"/>
    <w:rsid w:val="79E34D47"/>
    <w:rsid w:val="79EC33C3"/>
    <w:rsid w:val="7A195421"/>
    <w:rsid w:val="7A1C1793"/>
    <w:rsid w:val="7A1C4DC7"/>
    <w:rsid w:val="7A3A078E"/>
    <w:rsid w:val="7A3E119B"/>
    <w:rsid w:val="7A417F22"/>
    <w:rsid w:val="7A45124E"/>
    <w:rsid w:val="7A4928E9"/>
    <w:rsid w:val="7A4C7BCA"/>
    <w:rsid w:val="7A7E555C"/>
    <w:rsid w:val="7A7F307F"/>
    <w:rsid w:val="7A850292"/>
    <w:rsid w:val="7A864059"/>
    <w:rsid w:val="7A991285"/>
    <w:rsid w:val="7AAC03BC"/>
    <w:rsid w:val="7AAE120D"/>
    <w:rsid w:val="7AB2157C"/>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5204F9"/>
    <w:rsid w:val="7B612D94"/>
    <w:rsid w:val="7B69538B"/>
    <w:rsid w:val="7B6E3852"/>
    <w:rsid w:val="7B745405"/>
    <w:rsid w:val="7B7E5E0A"/>
    <w:rsid w:val="7B89373C"/>
    <w:rsid w:val="7B8B54F1"/>
    <w:rsid w:val="7BCD7043"/>
    <w:rsid w:val="7BDA2B39"/>
    <w:rsid w:val="7BE114B4"/>
    <w:rsid w:val="7C0A4F8F"/>
    <w:rsid w:val="7C274E7E"/>
    <w:rsid w:val="7C280E42"/>
    <w:rsid w:val="7C4A7F77"/>
    <w:rsid w:val="7C7F4F3C"/>
    <w:rsid w:val="7C9C55B4"/>
    <w:rsid w:val="7CA544A2"/>
    <w:rsid w:val="7CA91615"/>
    <w:rsid w:val="7CB347D7"/>
    <w:rsid w:val="7CCD67D7"/>
    <w:rsid w:val="7CDB518C"/>
    <w:rsid w:val="7CE21673"/>
    <w:rsid w:val="7CE2570E"/>
    <w:rsid w:val="7CF45745"/>
    <w:rsid w:val="7D0E3538"/>
    <w:rsid w:val="7D4033FD"/>
    <w:rsid w:val="7D4D5856"/>
    <w:rsid w:val="7D537A55"/>
    <w:rsid w:val="7D737A9C"/>
    <w:rsid w:val="7D8234F7"/>
    <w:rsid w:val="7DAA16F6"/>
    <w:rsid w:val="7DCA2855"/>
    <w:rsid w:val="7DE14EF9"/>
    <w:rsid w:val="7DEF3EAB"/>
    <w:rsid w:val="7E183EEA"/>
    <w:rsid w:val="7E245663"/>
    <w:rsid w:val="7E440B2B"/>
    <w:rsid w:val="7E4A22B2"/>
    <w:rsid w:val="7E4F61B6"/>
    <w:rsid w:val="7E5022F4"/>
    <w:rsid w:val="7E6752B6"/>
    <w:rsid w:val="7E717A7B"/>
    <w:rsid w:val="7E720C01"/>
    <w:rsid w:val="7E80292D"/>
    <w:rsid w:val="7E84382C"/>
    <w:rsid w:val="7E855AE7"/>
    <w:rsid w:val="7E9D718F"/>
    <w:rsid w:val="7EA7411B"/>
    <w:rsid w:val="7EA874D5"/>
    <w:rsid w:val="7EAA0221"/>
    <w:rsid w:val="7EB02A3C"/>
    <w:rsid w:val="7EB714C1"/>
    <w:rsid w:val="7EB81375"/>
    <w:rsid w:val="7EC92354"/>
    <w:rsid w:val="7ED326C7"/>
    <w:rsid w:val="7F0A6F2E"/>
    <w:rsid w:val="7F1E459D"/>
    <w:rsid w:val="7F21551C"/>
    <w:rsid w:val="7F251450"/>
    <w:rsid w:val="7F381A47"/>
    <w:rsid w:val="7F3932D6"/>
    <w:rsid w:val="7F3B3199"/>
    <w:rsid w:val="7F3D07F6"/>
    <w:rsid w:val="7F4D23DA"/>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8</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2024-10-07T13:22:16Z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